
<file path=[Content_Types].xml><?xml version="1.0" encoding="utf-8"?>
<Types xmlns="http://schemas.openxmlformats.org/package/2006/content-types">
  <Default Extension="doc" ContentType="application/msword"/>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8F070" w14:textId="4419B130" w:rsidR="00A035EA" w:rsidRPr="00056114" w:rsidRDefault="00EF0015" w:rsidP="7EF9F53E">
      <w:pPr>
        <w:spacing w:after="0" w:line="240" w:lineRule="auto"/>
      </w:pPr>
      <w:r w:rsidRPr="7EF9F53E">
        <w:rPr>
          <w:lang w:val="en"/>
        </w:rPr>
        <w:t>The Financial Policy Office (FPO), within the Office of the Controller, oversees the development, communication</w:t>
      </w:r>
      <w:r w:rsidR="00F871C1">
        <w:rPr>
          <w:lang w:val="en"/>
        </w:rPr>
        <w:t>,</w:t>
      </w:r>
      <w:r w:rsidRPr="7EF9F53E">
        <w:rPr>
          <w:lang w:val="en"/>
        </w:rPr>
        <w:t xml:space="preserve"> and management of University-wide financial policies. FPO</w:t>
      </w:r>
      <w:r w:rsidR="00D32A3B" w:rsidRPr="7EF9F53E">
        <w:rPr>
          <w:lang w:val="en"/>
        </w:rPr>
        <w:t>’s mission</w:t>
      </w:r>
      <w:r w:rsidRPr="7EF9F53E">
        <w:rPr>
          <w:lang w:val="en"/>
        </w:rPr>
        <w:t xml:space="preserve"> is to ensure that financial policies are accessible, </w:t>
      </w:r>
      <w:r w:rsidR="00F871C1">
        <w:rPr>
          <w:lang w:val="en"/>
        </w:rPr>
        <w:t>easy-to-use</w:t>
      </w:r>
      <w:r w:rsidRPr="7EF9F53E">
        <w:rPr>
          <w:lang w:val="en"/>
        </w:rPr>
        <w:t xml:space="preserve"> tools for the Harvard financial community, and to help create new policies where needed. A </w:t>
      </w:r>
      <w:r w:rsidRPr="7EF9F53E">
        <w:t>f</w:t>
      </w:r>
      <w:r w:rsidR="005A6AE3" w:rsidRPr="7EF9F53E">
        <w:t xml:space="preserve">ull list of </w:t>
      </w:r>
      <w:r w:rsidR="003267E9" w:rsidRPr="7EF9F53E">
        <w:t xml:space="preserve">financial </w:t>
      </w:r>
      <w:r w:rsidR="005A6AE3" w:rsidRPr="7EF9F53E">
        <w:t xml:space="preserve">policies </w:t>
      </w:r>
      <w:r w:rsidR="003267E9" w:rsidRPr="7EF9F53E">
        <w:t xml:space="preserve">and links to other University policies </w:t>
      </w:r>
      <w:r w:rsidR="005A6AE3" w:rsidRPr="7EF9F53E">
        <w:t xml:space="preserve">may be found </w:t>
      </w:r>
      <w:r w:rsidR="00F92E1D">
        <w:t xml:space="preserve">on </w:t>
      </w:r>
      <w:r w:rsidR="00F92E1D" w:rsidRPr="002E749C">
        <w:t xml:space="preserve">the </w:t>
      </w:r>
      <w:hyperlink r:id="rId11" w:history="1">
        <w:r w:rsidR="00F92E1D" w:rsidRPr="002E749C">
          <w:rPr>
            <w:rStyle w:val="Hyperlink"/>
          </w:rPr>
          <w:t>Financial Policy</w:t>
        </w:r>
        <w:r w:rsidR="008108AF" w:rsidRPr="002E749C">
          <w:rPr>
            <w:rStyle w:val="Hyperlink"/>
          </w:rPr>
          <w:t xml:space="preserve"> Office</w:t>
        </w:r>
      </w:hyperlink>
      <w:r w:rsidR="00F92E1D">
        <w:t xml:space="preserve"> website</w:t>
      </w:r>
      <w:r w:rsidR="008108AF">
        <w:t>.</w:t>
      </w:r>
      <w:r w:rsidR="00137370">
        <w:t xml:space="preserve"> </w:t>
      </w:r>
      <w:r w:rsidR="00D163B0" w:rsidRPr="7EF9F53E">
        <w:t xml:space="preserve">Additional training and reference materials may be found </w:t>
      </w:r>
      <w:r w:rsidR="00D163B0" w:rsidRPr="002E749C">
        <w:t xml:space="preserve">on </w:t>
      </w:r>
      <w:r w:rsidR="00137370" w:rsidRPr="002E749C">
        <w:t xml:space="preserve">the </w:t>
      </w:r>
      <w:hyperlink r:id="rId12" w:history="1">
        <w:r w:rsidR="00726FD0">
          <w:rPr>
            <w:rStyle w:val="Hyperlink"/>
          </w:rPr>
          <w:t>Accounting and Finance Learning Portal (AFLP)</w:t>
        </w:r>
      </w:hyperlink>
      <w:r w:rsidR="00FD2ADC" w:rsidRPr="002E749C">
        <w:t>.</w:t>
      </w:r>
    </w:p>
    <w:p w14:paraId="2EBDAFB3" w14:textId="77777777" w:rsidR="00FA0513" w:rsidRPr="00056114" w:rsidRDefault="00FA0513" w:rsidP="00D445AE">
      <w:pPr>
        <w:spacing w:after="0" w:line="240" w:lineRule="auto"/>
        <w:rPr>
          <w:rFonts w:cstheme="minorHAnsi"/>
          <w:sz w:val="12"/>
          <w:szCs w:val="12"/>
        </w:rPr>
      </w:pPr>
    </w:p>
    <w:p w14:paraId="40652721" w14:textId="13E7ADBC" w:rsidR="005A6F03" w:rsidRPr="00056114" w:rsidRDefault="005A6F03" w:rsidP="005A6F03">
      <w:pPr>
        <w:spacing w:after="0" w:line="240" w:lineRule="auto"/>
      </w:pPr>
      <w:r w:rsidRPr="68D300E7">
        <w:t xml:space="preserve">Your School/Unit may have additional requirements. </w:t>
      </w:r>
      <w:r w:rsidRPr="002E749C">
        <w:t>Contact your</w:t>
      </w:r>
      <w:r w:rsidR="00967A39">
        <w:t xml:space="preserve"> local finance office</w:t>
      </w:r>
      <w:r w:rsidR="00562D0B">
        <w:t xml:space="preserve"> for </w:t>
      </w:r>
      <w:r w:rsidR="00B86E37">
        <w:t>guidance</w:t>
      </w:r>
      <w:r w:rsidR="00562D0B">
        <w:t>.</w:t>
      </w:r>
    </w:p>
    <w:p w14:paraId="55F7B05A" w14:textId="77777777" w:rsidR="005A6F03" w:rsidRDefault="005A6F03" w:rsidP="00D445AE">
      <w:pPr>
        <w:spacing w:after="0" w:line="240" w:lineRule="auto"/>
        <w:rPr>
          <w:rFonts w:cstheme="minorHAnsi"/>
        </w:rPr>
      </w:pPr>
    </w:p>
    <w:p w14:paraId="2310D3E9" w14:textId="02DBC82A" w:rsidR="00FA0513" w:rsidRDefault="00FA0513" w:rsidP="00D445AE">
      <w:pPr>
        <w:spacing w:after="0" w:line="240" w:lineRule="auto"/>
        <w:rPr>
          <w:rFonts w:cstheme="minorHAnsi"/>
        </w:rPr>
      </w:pPr>
      <w:r w:rsidRPr="00056114">
        <w:rPr>
          <w:rFonts w:cstheme="minorHAnsi"/>
        </w:rPr>
        <w:t xml:space="preserve">In addition to University-wide financial policies, </w:t>
      </w:r>
      <w:r w:rsidR="00F66421" w:rsidRPr="00056114">
        <w:rPr>
          <w:rFonts w:cstheme="minorHAnsi"/>
        </w:rPr>
        <w:t>Financial Accounting and Reporting (FAR)</w:t>
      </w:r>
      <w:r w:rsidRPr="00056114">
        <w:rPr>
          <w:rFonts w:cstheme="minorHAnsi"/>
        </w:rPr>
        <w:t xml:space="preserve"> has an internal control program designed to reduce risks associated with financial reporting. To date, nine financial cycles have been assessed</w:t>
      </w:r>
      <w:r w:rsidR="00A15BAC">
        <w:rPr>
          <w:rFonts w:cstheme="minorHAnsi"/>
        </w:rPr>
        <w:t>,</w:t>
      </w:r>
      <w:r w:rsidRPr="00056114">
        <w:rPr>
          <w:rFonts w:cstheme="minorHAnsi"/>
        </w:rPr>
        <w:t xml:space="preserve"> and key control activities have been documented </w:t>
      </w:r>
      <w:r w:rsidR="00FE38F5">
        <w:rPr>
          <w:rFonts w:cstheme="minorHAnsi"/>
        </w:rPr>
        <w:t>that</w:t>
      </w:r>
      <w:r w:rsidRPr="00056114">
        <w:rPr>
          <w:rFonts w:cstheme="minorHAnsi"/>
        </w:rPr>
        <w:t xml:space="preserve"> must be followed</w:t>
      </w:r>
      <w:r w:rsidR="00362556" w:rsidRPr="00056114">
        <w:rPr>
          <w:rFonts w:cstheme="minorHAnsi"/>
        </w:rPr>
        <w:t xml:space="preserve">. </w:t>
      </w:r>
      <w:r w:rsidRPr="00056114">
        <w:rPr>
          <w:rFonts w:cstheme="minorHAnsi"/>
        </w:rPr>
        <w:t xml:space="preserve">Additional details may be found </w:t>
      </w:r>
      <w:r w:rsidR="00485721">
        <w:rPr>
          <w:rFonts w:cstheme="minorHAnsi"/>
        </w:rPr>
        <w:t xml:space="preserve">on the </w:t>
      </w:r>
      <w:hyperlink r:id="rId13" w:history="1">
        <w:r w:rsidR="00485721" w:rsidRPr="009406C7">
          <w:rPr>
            <w:rStyle w:val="Hyperlink"/>
            <w:rFonts w:cstheme="minorHAnsi"/>
          </w:rPr>
          <w:t>Business Cycle Controls Matrices</w:t>
        </w:r>
      </w:hyperlink>
      <w:r w:rsidR="00534498">
        <w:rPr>
          <w:rFonts w:cstheme="minorHAnsi"/>
        </w:rPr>
        <w:t xml:space="preserve"> page of the Office of the Controller’s website.</w:t>
      </w:r>
    </w:p>
    <w:p w14:paraId="5B0AAE5D" w14:textId="77777777" w:rsidR="00947C09" w:rsidRPr="0055557B" w:rsidRDefault="00947C09" w:rsidP="00D445AE">
      <w:pPr>
        <w:spacing w:after="0" w:line="240" w:lineRule="auto"/>
        <w:rPr>
          <w:rFonts w:cstheme="minorHAnsi"/>
          <w:sz w:val="12"/>
          <w:szCs w:val="12"/>
        </w:rPr>
      </w:pPr>
    </w:p>
    <w:p w14:paraId="03EC4058" w14:textId="3E22D11F" w:rsidR="00EF0015" w:rsidRPr="00056114" w:rsidRDefault="00912577" w:rsidP="00912577">
      <w:pPr>
        <w:tabs>
          <w:tab w:val="left" w:pos="10365"/>
        </w:tabs>
        <w:spacing w:after="0" w:line="240" w:lineRule="auto"/>
        <w:rPr>
          <w:rFonts w:cstheme="minorHAnsi"/>
          <w:sz w:val="12"/>
          <w:szCs w:val="12"/>
        </w:rPr>
      </w:pPr>
      <w:r>
        <w:rPr>
          <w:rFonts w:cstheme="minorHAnsi"/>
          <w:sz w:val="12"/>
          <w:szCs w:val="12"/>
        </w:rPr>
        <w:tab/>
      </w:r>
    </w:p>
    <w:p w14:paraId="75CFC0B3" w14:textId="5DE55244" w:rsidR="00EF0015" w:rsidRPr="002B64F6" w:rsidRDefault="00EF0015" w:rsidP="00D445AE">
      <w:pPr>
        <w:spacing w:after="0" w:line="240" w:lineRule="auto"/>
        <w:rPr>
          <w:rFonts w:cstheme="minorHAnsi"/>
        </w:rPr>
      </w:pPr>
      <w:r w:rsidRPr="002B64F6">
        <w:rPr>
          <w:rFonts w:cstheme="minorHAnsi"/>
        </w:rPr>
        <w:t xml:space="preserve">Please contact </w:t>
      </w:r>
      <w:r w:rsidR="00F82E69" w:rsidRPr="002B64F6">
        <w:rPr>
          <w:rFonts w:cstheme="minorHAnsi"/>
        </w:rPr>
        <w:t xml:space="preserve">the </w:t>
      </w:r>
      <w:r w:rsidR="00FA456A" w:rsidRPr="002B64F6">
        <w:rPr>
          <w:rFonts w:cstheme="minorHAnsi"/>
        </w:rPr>
        <w:t>FPO at</w:t>
      </w:r>
      <w:r w:rsidRPr="002B64F6">
        <w:rPr>
          <w:rFonts w:cstheme="minorHAnsi"/>
        </w:rPr>
        <w:t xml:space="preserve"> </w:t>
      </w:r>
      <w:hyperlink r:id="rId14" w:history="1">
        <w:r w:rsidR="00C1722E" w:rsidRPr="002B64F6">
          <w:rPr>
            <w:rStyle w:val="Hyperlink"/>
            <w:rFonts w:cstheme="minorHAnsi"/>
          </w:rPr>
          <w:t>financialpolicy@harvard.edu</w:t>
        </w:r>
      </w:hyperlink>
      <w:r w:rsidRPr="002B64F6">
        <w:rPr>
          <w:rFonts w:cstheme="minorHAnsi"/>
        </w:rPr>
        <w:t xml:space="preserve"> with any questions or concerns.</w:t>
      </w:r>
    </w:p>
    <w:p w14:paraId="5EFD76E6" w14:textId="77777777" w:rsidR="00944A25" w:rsidRPr="00056114" w:rsidRDefault="00944A25" w:rsidP="00D445AE">
      <w:pPr>
        <w:spacing w:after="0" w:line="240" w:lineRule="auto"/>
        <w:rPr>
          <w:rFonts w:cstheme="minorHAnsi"/>
          <w:b/>
          <w:bCs/>
        </w:rPr>
      </w:pPr>
    </w:p>
    <w:tbl>
      <w:tblPr>
        <w:tblStyle w:val="TableShading"/>
        <w:tblpPr w:leftFromText="180" w:rightFromText="180" w:vertAnchor="text" w:tblpY="1"/>
        <w:tblOverlap w:val="never"/>
        <w:tblW w:w="14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85"/>
        <w:gridCol w:w="5940"/>
        <w:gridCol w:w="1800"/>
        <w:gridCol w:w="1530"/>
        <w:gridCol w:w="1710"/>
        <w:gridCol w:w="1350"/>
      </w:tblGrid>
      <w:tr w:rsidR="007B24CD" w:rsidRPr="00056114" w14:paraId="23FEA5BF" w14:textId="743D4F66" w:rsidTr="00B50AAC">
        <w:trPr>
          <w:cnfStyle w:val="100000000000" w:firstRow="1" w:lastRow="0" w:firstColumn="0" w:lastColumn="0" w:oddVBand="0" w:evenVBand="0" w:oddHBand="0" w:evenHBand="0" w:firstRowFirstColumn="0" w:firstRowLastColumn="0" w:lastRowFirstColumn="0" w:lastRowLastColumn="0"/>
          <w:tblHeader/>
        </w:trPr>
        <w:tc>
          <w:tcPr>
            <w:tcW w:w="1885" w:type="dxa"/>
          </w:tcPr>
          <w:p w14:paraId="7DD074E1" w14:textId="679A3822" w:rsidR="007B24CD" w:rsidRPr="00056114" w:rsidRDefault="007B24CD" w:rsidP="009C543C">
            <w:pPr>
              <w:jc w:val="center"/>
              <w:rPr>
                <w:rFonts w:cstheme="minorHAnsi"/>
              </w:rPr>
            </w:pPr>
            <w:r w:rsidRPr="00056114">
              <w:rPr>
                <w:rFonts w:cstheme="minorHAnsi"/>
              </w:rPr>
              <w:t>Policy</w:t>
            </w:r>
          </w:p>
        </w:tc>
        <w:tc>
          <w:tcPr>
            <w:tcW w:w="5940" w:type="dxa"/>
          </w:tcPr>
          <w:p w14:paraId="4120D7AC" w14:textId="3BFC0D27" w:rsidR="007B24CD" w:rsidRPr="009305BA" w:rsidRDefault="007B24CD" w:rsidP="009C543C">
            <w:pPr>
              <w:pStyle w:val="NoSpacing"/>
              <w:jc w:val="center"/>
            </w:pPr>
            <w:r w:rsidRPr="009305BA">
              <w:t>Policy Description</w:t>
            </w:r>
          </w:p>
        </w:tc>
        <w:tc>
          <w:tcPr>
            <w:tcW w:w="1800" w:type="dxa"/>
          </w:tcPr>
          <w:p w14:paraId="4E7A50E2" w14:textId="237D9E00" w:rsidR="007B24CD" w:rsidRPr="00056114" w:rsidRDefault="007B24CD" w:rsidP="009C543C">
            <w:pPr>
              <w:pStyle w:val="NoSpacing"/>
              <w:jc w:val="center"/>
              <w:rPr>
                <w:rFonts w:cstheme="minorHAnsi"/>
              </w:rPr>
            </w:pPr>
            <w:r>
              <w:rPr>
                <w:rFonts w:cstheme="minorHAnsi"/>
              </w:rPr>
              <w:t>Control</w:t>
            </w:r>
            <w:r w:rsidR="00517184">
              <w:rPr>
                <w:rFonts w:cstheme="minorHAnsi"/>
              </w:rPr>
              <w:t>s</w:t>
            </w:r>
            <w:r>
              <w:rPr>
                <w:rFonts w:cstheme="minorHAnsi"/>
              </w:rPr>
              <w:t xml:space="preserve"> Matri</w:t>
            </w:r>
            <w:r w:rsidR="00584C91">
              <w:rPr>
                <w:rFonts w:cstheme="minorHAnsi"/>
              </w:rPr>
              <w:t>ces</w:t>
            </w:r>
          </w:p>
        </w:tc>
        <w:tc>
          <w:tcPr>
            <w:tcW w:w="1530" w:type="dxa"/>
          </w:tcPr>
          <w:p w14:paraId="0C39A9A5" w14:textId="77777777" w:rsidR="00A403C5" w:rsidRDefault="00917150" w:rsidP="009C543C">
            <w:pPr>
              <w:pStyle w:val="NoSpacing"/>
              <w:jc w:val="center"/>
              <w:rPr>
                <w:rFonts w:cstheme="minorHAnsi"/>
                <w:b w:val="0"/>
              </w:rPr>
            </w:pPr>
            <w:r>
              <w:rPr>
                <w:rFonts w:cstheme="minorHAnsi"/>
              </w:rPr>
              <w:t>AFLP</w:t>
            </w:r>
          </w:p>
          <w:p w14:paraId="25641CF6" w14:textId="26F8C5F7" w:rsidR="007B24CD" w:rsidRDefault="7DFDFD42" w:rsidP="009C543C">
            <w:pPr>
              <w:pStyle w:val="NoSpacing"/>
              <w:jc w:val="center"/>
            </w:pPr>
            <w:r w:rsidRPr="19A573B4">
              <w:t>Training</w:t>
            </w:r>
          </w:p>
        </w:tc>
        <w:tc>
          <w:tcPr>
            <w:tcW w:w="1710" w:type="dxa"/>
          </w:tcPr>
          <w:p w14:paraId="129E1FA7" w14:textId="0FFC7EDF" w:rsidR="00BB6B5F" w:rsidRDefault="7DFDFD42" w:rsidP="009C543C">
            <w:pPr>
              <w:pStyle w:val="NoSpacing"/>
              <w:jc w:val="center"/>
            </w:pPr>
            <w:r w:rsidRPr="19A573B4">
              <w:t>Responsible Party</w:t>
            </w:r>
          </w:p>
        </w:tc>
        <w:tc>
          <w:tcPr>
            <w:tcW w:w="1350" w:type="dxa"/>
          </w:tcPr>
          <w:p w14:paraId="6F1BF330" w14:textId="67006733" w:rsidR="000429F7" w:rsidRPr="00056114" w:rsidRDefault="007B24CD" w:rsidP="009C543C">
            <w:pPr>
              <w:pStyle w:val="NoSpacing"/>
              <w:jc w:val="center"/>
              <w:rPr>
                <w:b w:val="0"/>
              </w:rPr>
            </w:pPr>
            <w:r w:rsidRPr="35040A49">
              <w:t>System</w:t>
            </w:r>
          </w:p>
        </w:tc>
      </w:tr>
      <w:tr w:rsidR="007B24CD" w:rsidRPr="00056114" w14:paraId="01DEEF06" w14:textId="2EB08402" w:rsidTr="00B50AAC">
        <w:tc>
          <w:tcPr>
            <w:tcW w:w="1885" w:type="dxa"/>
          </w:tcPr>
          <w:p w14:paraId="63FCBA66" w14:textId="69FED723" w:rsidR="007B24CD" w:rsidRPr="00056114" w:rsidRDefault="007B24CD" w:rsidP="009C543C">
            <w:pPr>
              <w:rPr>
                <w:rFonts w:cstheme="minorHAnsi"/>
                <w:sz w:val="20"/>
                <w:szCs w:val="20"/>
              </w:rPr>
            </w:pPr>
            <w:hyperlink r:id="rId15" w:history="1">
              <w:r w:rsidRPr="0012190D">
                <w:rPr>
                  <w:rStyle w:val="Hyperlink"/>
                  <w:rFonts w:cstheme="minorHAnsi"/>
                  <w:sz w:val="20"/>
                  <w:szCs w:val="20"/>
                </w:rPr>
                <w:t>Accepting Credit Card Payments</w:t>
              </w:r>
            </w:hyperlink>
          </w:p>
        </w:tc>
        <w:tc>
          <w:tcPr>
            <w:tcW w:w="5940" w:type="dxa"/>
          </w:tcPr>
          <w:p w14:paraId="7FEB5313" w14:textId="6F44AF5F" w:rsidR="007B24CD" w:rsidRPr="00056114" w:rsidRDefault="007B24CD" w:rsidP="009C543C">
            <w:pPr>
              <w:pStyle w:val="NoSpacing"/>
              <w:rPr>
                <w:rFonts w:cstheme="minorHAnsi"/>
                <w:sz w:val="20"/>
                <w:szCs w:val="20"/>
              </w:rPr>
            </w:pPr>
            <w:r w:rsidRPr="00056114">
              <w:rPr>
                <w:rFonts w:cstheme="minorHAnsi"/>
                <w:sz w:val="20"/>
                <w:szCs w:val="20"/>
              </w:rPr>
              <w:t>Harvard University accepts credit cards as payment from external parties for certain goods, services, or gifts. This policy establishes that all credit card-accepting local units, called “merchants”</w:t>
            </w:r>
            <w:r w:rsidR="00D56543">
              <w:rPr>
                <w:rFonts w:cstheme="minorHAnsi"/>
                <w:sz w:val="20"/>
                <w:szCs w:val="20"/>
              </w:rPr>
              <w:t>,</w:t>
            </w:r>
            <w:r w:rsidRPr="00056114">
              <w:rPr>
                <w:rFonts w:cstheme="minorHAnsi"/>
                <w:sz w:val="20"/>
                <w:szCs w:val="20"/>
              </w:rPr>
              <w:t xml:space="preserve"> must be set up through the central Cash Management Office, and must comply with the credit card industry standards, University guidelines</w:t>
            </w:r>
            <w:r>
              <w:rPr>
                <w:rFonts w:cstheme="minorHAnsi"/>
                <w:sz w:val="20"/>
                <w:szCs w:val="20"/>
              </w:rPr>
              <w:t>,</w:t>
            </w:r>
            <w:r w:rsidRPr="00056114">
              <w:rPr>
                <w:rFonts w:cstheme="minorHAnsi"/>
                <w:sz w:val="20"/>
                <w:szCs w:val="20"/>
              </w:rPr>
              <w:t xml:space="preserve"> and annual certifications as set forth in the University Credit Card Merchant Handbook.</w:t>
            </w:r>
          </w:p>
        </w:tc>
        <w:tc>
          <w:tcPr>
            <w:tcW w:w="1800" w:type="dxa"/>
          </w:tcPr>
          <w:p w14:paraId="12A6633D" w14:textId="758CB081" w:rsidR="007B24CD" w:rsidRPr="00056114" w:rsidRDefault="007B24CD" w:rsidP="009C543C">
            <w:pPr>
              <w:pStyle w:val="NoSpacing"/>
              <w:rPr>
                <w:rFonts w:cstheme="minorHAnsi"/>
                <w:sz w:val="20"/>
                <w:szCs w:val="20"/>
              </w:rPr>
            </w:pPr>
            <w:hyperlink r:id="rId16" w:history="1">
              <w:r w:rsidRPr="00A835E3">
                <w:rPr>
                  <w:rStyle w:val="Hyperlink"/>
                  <w:rFonts w:cstheme="minorHAnsi"/>
                  <w:sz w:val="20"/>
                  <w:szCs w:val="20"/>
                </w:rPr>
                <w:t>Cash Management</w:t>
              </w:r>
            </w:hyperlink>
          </w:p>
        </w:tc>
        <w:tc>
          <w:tcPr>
            <w:tcW w:w="1530" w:type="dxa"/>
          </w:tcPr>
          <w:p w14:paraId="48AF30C2" w14:textId="69DE4B0F" w:rsidR="007B24CD" w:rsidRPr="002F1647" w:rsidRDefault="00E97230" w:rsidP="009C543C">
            <w:pPr>
              <w:pStyle w:val="NoSpacing"/>
              <w:rPr>
                <w:rFonts w:cstheme="minorHAnsi"/>
                <w:sz w:val="20"/>
                <w:szCs w:val="20"/>
              </w:rPr>
            </w:pPr>
            <w:hyperlink r:id="rId17" w:history="1">
              <w:r w:rsidRPr="003B0557">
                <w:rPr>
                  <w:rStyle w:val="Hyperlink"/>
                  <w:rFonts w:cstheme="minorHAnsi"/>
                  <w:sz w:val="20"/>
                  <w:szCs w:val="20"/>
                </w:rPr>
                <w:t>Processing</w:t>
              </w:r>
            </w:hyperlink>
          </w:p>
        </w:tc>
        <w:tc>
          <w:tcPr>
            <w:tcW w:w="1710" w:type="dxa"/>
          </w:tcPr>
          <w:p w14:paraId="676B8861" w14:textId="68EBEA06" w:rsidR="007B24CD" w:rsidRPr="002F1647" w:rsidRDefault="00E1596E" w:rsidP="009C543C">
            <w:pPr>
              <w:pStyle w:val="NoSpacing"/>
              <w:rPr>
                <w:rFonts w:cstheme="minorHAnsi"/>
                <w:sz w:val="20"/>
                <w:szCs w:val="20"/>
              </w:rPr>
            </w:pPr>
            <w:r>
              <w:rPr>
                <w:rFonts w:cstheme="minorHAnsi"/>
                <w:sz w:val="20"/>
                <w:szCs w:val="20"/>
              </w:rPr>
              <w:t>Treasury</w:t>
            </w:r>
            <w:r w:rsidR="00123EAF">
              <w:rPr>
                <w:rFonts w:cstheme="minorHAnsi"/>
                <w:sz w:val="20"/>
                <w:szCs w:val="20"/>
              </w:rPr>
              <w:t xml:space="preserve"> Management</w:t>
            </w:r>
          </w:p>
        </w:tc>
        <w:tc>
          <w:tcPr>
            <w:tcW w:w="1350" w:type="dxa"/>
          </w:tcPr>
          <w:p w14:paraId="44C50D3A" w14:textId="0BA581A7" w:rsidR="007B24CD" w:rsidRPr="00056114" w:rsidRDefault="007B24CD" w:rsidP="009C543C">
            <w:pPr>
              <w:pStyle w:val="NoSpacing"/>
              <w:rPr>
                <w:sz w:val="20"/>
                <w:szCs w:val="20"/>
              </w:rPr>
            </w:pPr>
            <w:r w:rsidRPr="35040A49">
              <w:rPr>
                <w:sz w:val="20"/>
                <w:szCs w:val="20"/>
              </w:rPr>
              <w:t>Oracle</w:t>
            </w:r>
          </w:p>
        </w:tc>
      </w:tr>
      <w:tr w:rsidR="007B24CD" w:rsidRPr="00056114" w14:paraId="18CD3A1D" w14:textId="113B4458" w:rsidTr="00CA2CD2">
        <w:trPr>
          <w:cnfStyle w:val="000000010000" w:firstRow="0" w:lastRow="0" w:firstColumn="0" w:lastColumn="0" w:oddVBand="0" w:evenVBand="0" w:oddHBand="0" w:evenHBand="1" w:firstRowFirstColumn="0" w:firstRowLastColumn="0" w:lastRowFirstColumn="0" w:lastRowLastColumn="0"/>
        </w:trPr>
        <w:tc>
          <w:tcPr>
            <w:tcW w:w="1885" w:type="dxa"/>
            <w:shd w:val="clear" w:color="auto" w:fill="F2F2F2" w:themeFill="background1" w:themeFillShade="F2"/>
          </w:tcPr>
          <w:p w14:paraId="60847B0A" w14:textId="511C5491" w:rsidR="007B24CD" w:rsidRPr="00056114" w:rsidRDefault="007B24CD" w:rsidP="009C543C">
            <w:pPr>
              <w:rPr>
                <w:rFonts w:cstheme="minorHAnsi"/>
                <w:sz w:val="20"/>
                <w:szCs w:val="20"/>
              </w:rPr>
            </w:pPr>
            <w:hyperlink r:id="rId18" w:history="1">
              <w:r w:rsidRPr="002C2844">
                <w:rPr>
                  <w:rStyle w:val="Hyperlink"/>
                  <w:rFonts w:cstheme="minorHAnsi"/>
                  <w:sz w:val="20"/>
                  <w:szCs w:val="20"/>
                </w:rPr>
                <w:t>Bank Accounts</w:t>
              </w:r>
            </w:hyperlink>
          </w:p>
        </w:tc>
        <w:tc>
          <w:tcPr>
            <w:tcW w:w="5940" w:type="dxa"/>
            <w:shd w:val="clear" w:color="auto" w:fill="F2F2F2" w:themeFill="background1" w:themeFillShade="F2"/>
          </w:tcPr>
          <w:p w14:paraId="702D66CA" w14:textId="549224D2" w:rsidR="007B24CD" w:rsidRPr="00056114" w:rsidRDefault="007B24CD" w:rsidP="009C543C">
            <w:pPr>
              <w:pStyle w:val="NoSpacing"/>
              <w:rPr>
                <w:rFonts w:cstheme="minorHAnsi"/>
                <w:sz w:val="20"/>
                <w:szCs w:val="20"/>
              </w:rPr>
            </w:pPr>
            <w:r w:rsidRPr="00056114">
              <w:rPr>
                <w:rFonts w:cstheme="minorHAnsi"/>
                <w:sz w:val="20"/>
                <w:szCs w:val="20"/>
              </w:rPr>
              <w:t>This policy establishes how Harvard University bank accounts are to be opened, maintained, reconciled</w:t>
            </w:r>
            <w:r>
              <w:rPr>
                <w:rFonts w:cstheme="minorHAnsi"/>
                <w:sz w:val="20"/>
                <w:szCs w:val="20"/>
              </w:rPr>
              <w:t>,</w:t>
            </w:r>
            <w:r w:rsidRPr="00056114">
              <w:rPr>
                <w:rFonts w:cstheme="minorHAnsi"/>
                <w:sz w:val="20"/>
                <w:szCs w:val="20"/>
              </w:rPr>
              <w:t xml:space="preserve"> and closed. Only designated Harvard employees within the Office of Treasury Management (OTM) are authorized to select banking partners for, approve, open, make changes to, and close all bank accounts controlled by Harvard University entities. </w:t>
            </w:r>
          </w:p>
        </w:tc>
        <w:tc>
          <w:tcPr>
            <w:tcW w:w="1800" w:type="dxa"/>
            <w:shd w:val="clear" w:color="auto" w:fill="F2F2F2" w:themeFill="background1" w:themeFillShade="F2"/>
          </w:tcPr>
          <w:p w14:paraId="0F474883" w14:textId="28536355" w:rsidR="007B24CD" w:rsidRPr="00056114" w:rsidRDefault="007B24CD" w:rsidP="009C543C">
            <w:pPr>
              <w:pStyle w:val="NoSpacing"/>
              <w:rPr>
                <w:rFonts w:cstheme="minorHAnsi"/>
                <w:sz w:val="20"/>
                <w:szCs w:val="20"/>
              </w:rPr>
            </w:pPr>
            <w:hyperlink r:id="rId19" w:history="1">
              <w:r w:rsidRPr="00A835E3">
                <w:rPr>
                  <w:rStyle w:val="Hyperlink"/>
                  <w:rFonts w:cstheme="minorHAnsi"/>
                  <w:sz w:val="20"/>
                  <w:szCs w:val="20"/>
                </w:rPr>
                <w:t>Cash Management</w:t>
              </w:r>
            </w:hyperlink>
          </w:p>
        </w:tc>
        <w:tc>
          <w:tcPr>
            <w:tcW w:w="1530" w:type="dxa"/>
            <w:shd w:val="clear" w:color="auto" w:fill="F2F2F2" w:themeFill="background1" w:themeFillShade="F2"/>
          </w:tcPr>
          <w:p w14:paraId="4D1AFD0E" w14:textId="455F729F" w:rsidR="007B24CD" w:rsidRPr="00E56FAF" w:rsidRDefault="001A42E0" w:rsidP="009C543C">
            <w:pPr>
              <w:pStyle w:val="NoSpacing"/>
              <w:rPr>
                <w:rFonts w:cstheme="minorHAnsi"/>
                <w:sz w:val="20"/>
                <w:szCs w:val="20"/>
              </w:rPr>
            </w:pPr>
            <w:hyperlink r:id="rId20" w:history="1">
              <w:r w:rsidRPr="003B0557">
                <w:rPr>
                  <w:rStyle w:val="Hyperlink"/>
                  <w:rFonts w:cstheme="minorHAnsi"/>
                  <w:sz w:val="20"/>
                  <w:szCs w:val="20"/>
                </w:rPr>
                <w:t>Processing</w:t>
              </w:r>
            </w:hyperlink>
          </w:p>
        </w:tc>
        <w:tc>
          <w:tcPr>
            <w:tcW w:w="1710" w:type="dxa"/>
            <w:shd w:val="clear" w:color="auto" w:fill="F2F2F2" w:themeFill="background1" w:themeFillShade="F2"/>
          </w:tcPr>
          <w:p w14:paraId="2E54DB37" w14:textId="328D931D" w:rsidR="007B24CD" w:rsidRPr="00E56FAF" w:rsidRDefault="00ED7A87" w:rsidP="009C543C">
            <w:pPr>
              <w:pStyle w:val="NoSpacing"/>
              <w:rPr>
                <w:rFonts w:cstheme="minorHAnsi"/>
                <w:sz w:val="20"/>
                <w:szCs w:val="20"/>
              </w:rPr>
            </w:pPr>
            <w:r>
              <w:rPr>
                <w:rFonts w:cstheme="minorHAnsi"/>
                <w:sz w:val="20"/>
                <w:szCs w:val="20"/>
              </w:rPr>
              <w:t>Treasury Management</w:t>
            </w:r>
          </w:p>
        </w:tc>
        <w:tc>
          <w:tcPr>
            <w:tcW w:w="1350" w:type="dxa"/>
            <w:shd w:val="clear" w:color="auto" w:fill="F2F2F2" w:themeFill="background1" w:themeFillShade="F2"/>
          </w:tcPr>
          <w:p w14:paraId="29B99666" w14:textId="2F215F61" w:rsidR="007B24CD" w:rsidRPr="00056114" w:rsidRDefault="007B24CD" w:rsidP="009C543C">
            <w:pPr>
              <w:pStyle w:val="NoSpacing"/>
              <w:rPr>
                <w:rFonts w:cstheme="minorHAnsi"/>
                <w:sz w:val="20"/>
                <w:szCs w:val="20"/>
              </w:rPr>
            </w:pPr>
            <w:r w:rsidRPr="00E56FAF">
              <w:rPr>
                <w:rFonts w:cstheme="minorHAnsi"/>
                <w:sz w:val="20"/>
                <w:szCs w:val="20"/>
              </w:rPr>
              <w:t>Oracle</w:t>
            </w:r>
          </w:p>
        </w:tc>
      </w:tr>
      <w:tr w:rsidR="007B24CD" w:rsidRPr="00056114" w14:paraId="350AF27B" w14:textId="21E7DDFD" w:rsidTr="00B50AAC">
        <w:tc>
          <w:tcPr>
            <w:tcW w:w="1885" w:type="dxa"/>
          </w:tcPr>
          <w:p w14:paraId="1BDB5AB0" w14:textId="1D0405BC" w:rsidR="007B24CD" w:rsidRPr="00056114" w:rsidRDefault="007B24CD" w:rsidP="009C543C">
            <w:pPr>
              <w:rPr>
                <w:rFonts w:cstheme="minorHAnsi"/>
                <w:sz w:val="20"/>
                <w:szCs w:val="20"/>
              </w:rPr>
            </w:pPr>
            <w:hyperlink r:id="rId21" w:history="1">
              <w:r w:rsidRPr="0046246F">
                <w:rPr>
                  <w:rStyle w:val="Hyperlink"/>
                  <w:rFonts w:cstheme="minorHAnsi"/>
                  <w:sz w:val="20"/>
                  <w:szCs w:val="20"/>
                </w:rPr>
                <w:t>Business Expense Reimbursements</w:t>
              </w:r>
            </w:hyperlink>
          </w:p>
        </w:tc>
        <w:tc>
          <w:tcPr>
            <w:tcW w:w="5940" w:type="dxa"/>
          </w:tcPr>
          <w:p w14:paraId="3B2928B1" w14:textId="3BFA4CCB" w:rsidR="007B24CD" w:rsidRPr="00056114" w:rsidRDefault="007B24CD" w:rsidP="009C543C">
            <w:pPr>
              <w:pStyle w:val="NoSpacing"/>
              <w:rPr>
                <w:rFonts w:cstheme="minorHAnsi"/>
                <w:sz w:val="20"/>
                <w:szCs w:val="20"/>
              </w:rPr>
            </w:pPr>
            <w:r w:rsidRPr="00056114">
              <w:rPr>
                <w:rFonts w:cstheme="minorHAnsi"/>
                <w:sz w:val="20"/>
                <w:szCs w:val="20"/>
              </w:rPr>
              <w:t xml:space="preserve">This policy establishes when Harvard will pay for non-travel business expenses for any individuals conducting business on the University’s behalf. Harvard will reimburse for allowable, reasonable, properly substantiated expenses that are necessary and appropriate in the conduct of University business. All business expense reimbursements must meet the IRS accountable plan rules </w:t>
            </w:r>
            <w:r w:rsidR="005660BD" w:rsidRPr="00056114">
              <w:rPr>
                <w:rFonts w:cstheme="minorHAnsi"/>
                <w:sz w:val="20"/>
                <w:szCs w:val="20"/>
              </w:rPr>
              <w:t>to</w:t>
            </w:r>
            <w:r w:rsidRPr="00056114">
              <w:rPr>
                <w:rFonts w:cstheme="minorHAnsi"/>
                <w:sz w:val="20"/>
                <w:szCs w:val="20"/>
              </w:rPr>
              <w:t xml:space="preserve"> be excluded from the recipient’s gross income. Business expenses paid by any method must comply with this policy.</w:t>
            </w:r>
          </w:p>
        </w:tc>
        <w:tc>
          <w:tcPr>
            <w:tcW w:w="1800" w:type="dxa"/>
          </w:tcPr>
          <w:p w14:paraId="73D2E177" w14:textId="4B03378A" w:rsidR="007B24CD" w:rsidRPr="00056114" w:rsidRDefault="007B24CD" w:rsidP="009C543C">
            <w:pPr>
              <w:pStyle w:val="NoSpacing"/>
              <w:rPr>
                <w:rFonts w:cstheme="minorHAnsi"/>
                <w:sz w:val="20"/>
                <w:szCs w:val="20"/>
              </w:rPr>
            </w:pPr>
            <w:hyperlink r:id="rId22" w:history="1">
              <w:r w:rsidRPr="00345464">
                <w:rPr>
                  <w:rStyle w:val="Hyperlink"/>
                  <w:rFonts w:cstheme="minorHAnsi"/>
                  <w:sz w:val="20"/>
                  <w:szCs w:val="20"/>
                </w:rPr>
                <w:t>Business Expenses Reimbursement (Concur)</w:t>
              </w:r>
            </w:hyperlink>
          </w:p>
        </w:tc>
        <w:tc>
          <w:tcPr>
            <w:tcW w:w="1530" w:type="dxa"/>
          </w:tcPr>
          <w:p w14:paraId="48906A9E" w14:textId="0EC9DF87" w:rsidR="007B24CD" w:rsidRDefault="00CF738A" w:rsidP="00C4501E">
            <w:pPr>
              <w:pStyle w:val="NoSpacing"/>
              <w:spacing w:after="120"/>
              <w:rPr>
                <w:rFonts w:cstheme="minorHAnsi"/>
                <w:sz w:val="20"/>
                <w:szCs w:val="20"/>
              </w:rPr>
            </w:pPr>
            <w:hyperlink r:id="rId23" w:history="1">
              <w:r w:rsidRPr="005502C6">
                <w:rPr>
                  <w:rStyle w:val="Hyperlink"/>
                  <w:rFonts w:cstheme="minorHAnsi"/>
                  <w:sz w:val="20"/>
                  <w:szCs w:val="20"/>
                </w:rPr>
                <w:t>B2P</w:t>
              </w:r>
            </w:hyperlink>
          </w:p>
          <w:p w14:paraId="19F8F4CA" w14:textId="77391667" w:rsidR="00D1176D" w:rsidRDefault="00D1176D" w:rsidP="00C4501E">
            <w:pPr>
              <w:pStyle w:val="NoSpacing"/>
              <w:spacing w:after="120"/>
              <w:rPr>
                <w:rFonts w:cstheme="minorHAnsi"/>
                <w:sz w:val="20"/>
                <w:szCs w:val="20"/>
              </w:rPr>
            </w:pPr>
            <w:hyperlink r:id="rId24" w:history="1">
              <w:r w:rsidRPr="009E1D08">
                <w:rPr>
                  <w:rStyle w:val="Hyperlink"/>
                  <w:rFonts w:cstheme="minorHAnsi"/>
                  <w:sz w:val="20"/>
                  <w:szCs w:val="20"/>
                </w:rPr>
                <w:t>Concur</w:t>
              </w:r>
            </w:hyperlink>
          </w:p>
          <w:p w14:paraId="41A208E7" w14:textId="17EFD925" w:rsidR="007D7199" w:rsidRDefault="001A42E0" w:rsidP="00C4501E">
            <w:pPr>
              <w:pStyle w:val="NoSpacing"/>
              <w:spacing w:after="120"/>
              <w:rPr>
                <w:rFonts w:cstheme="minorHAnsi"/>
                <w:sz w:val="20"/>
                <w:szCs w:val="20"/>
              </w:rPr>
            </w:pPr>
            <w:hyperlink r:id="rId25" w:history="1">
              <w:r w:rsidRPr="003B0557">
                <w:rPr>
                  <w:rStyle w:val="Hyperlink"/>
                  <w:rFonts w:cstheme="minorHAnsi"/>
                  <w:sz w:val="20"/>
                  <w:szCs w:val="20"/>
                </w:rPr>
                <w:t>Processing</w:t>
              </w:r>
            </w:hyperlink>
          </w:p>
          <w:p w14:paraId="38557DCF" w14:textId="1BF589F9" w:rsidR="00D1176D" w:rsidRDefault="00D1176D" w:rsidP="00C4501E">
            <w:pPr>
              <w:pStyle w:val="NoSpacing"/>
              <w:spacing w:after="120"/>
              <w:rPr>
                <w:rFonts w:cstheme="minorHAnsi"/>
                <w:sz w:val="20"/>
                <w:szCs w:val="20"/>
              </w:rPr>
            </w:pPr>
            <w:hyperlink r:id="rId26" w:history="1">
              <w:r w:rsidRPr="00913CEE">
                <w:rPr>
                  <w:rStyle w:val="Hyperlink"/>
                  <w:rFonts w:cstheme="minorHAnsi"/>
                  <w:sz w:val="20"/>
                  <w:szCs w:val="20"/>
                </w:rPr>
                <w:t>Travel</w:t>
              </w:r>
            </w:hyperlink>
          </w:p>
        </w:tc>
        <w:tc>
          <w:tcPr>
            <w:tcW w:w="1710" w:type="dxa"/>
          </w:tcPr>
          <w:p w14:paraId="079C349A" w14:textId="69164475" w:rsidR="007B24CD" w:rsidRDefault="00CF738A" w:rsidP="009C543C">
            <w:pPr>
              <w:pStyle w:val="NoSpacing"/>
              <w:rPr>
                <w:rFonts w:cstheme="minorHAnsi"/>
                <w:sz w:val="20"/>
                <w:szCs w:val="20"/>
              </w:rPr>
            </w:pPr>
            <w:r>
              <w:rPr>
                <w:rFonts w:cstheme="minorHAnsi"/>
                <w:sz w:val="20"/>
                <w:szCs w:val="20"/>
              </w:rPr>
              <w:t>Strategic Procurement</w:t>
            </w:r>
          </w:p>
        </w:tc>
        <w:tc>
          <w:tcPr>
            <w:tcW w:w="1350" w:type="dxa"/>
          </w:tcPr>
          <w:p w14:paraId="65DB103A" w14:textId="45D7EC97" w:rsidR="007B24CD" w:rsidRDefault="007B24CD" w:rsidP="009C543C">
            <w:pPr>
              <w:pStyle w:val="NoSpacing"/>
              <w:rPr>
                <w:rFonts w:cstheme="minorHAnsi"/>
                <w:sz w:val="20"/>
                <w:szCs w:val="20"/>
              </w:rPr>
            </w:pPr>
            <w:r>
              <w:rPr>
                <w:rFonts w:cstheme="minorHAnsi"/>
                <w:sz w:val="20"/>
                <w:szCs w:val="20"/>
              </w:rPr>
              <w:t>B2P</w:t>
            </w:r>
          </w:p>
          <w:p w14:paraId="33E33E0A" w14:textId="77777777" w:rsidR="007B24CD" w:rsidRDefault="007B24CD" w:rsidP="009C543C">
            <w:pPr>
              <w:pStyle w:val="NoSpacing"/>
              <w:rPr>
                <w:rFonts w:cstheme="minorHAnsi"/>
                <w:sz w:val="20"/>
                <w:szCs w:val="20"/>
              </w:rPr>
            </w:pPr>
            <w:r>
              <w:rPr>
                <w:rFonts w:cstheme="minorHAnsi"/>
                <w:sz w:val="20"/>
                <w:szCs w:val="20"/>
              </w:rPr>
              <w:t>Concur</w:t>
            </w:r>
          </w:p>
          <w:p w14:paraId="2FCFDC2D" w14:textId="77777777" w:rsidR="007B24CD" w:rsidRPr="00056114" w:rsidRDefault="007B24CD" w:rsidP="009C543C">
            <w:pPr>
              <w:rPr>
                <w:rFonts w:cstheme="minorHAnsi"/>
                <w:b/>
                <w:sz w:val="20"/>
                <w:szCs w:val="20"/>
              </w:rPr>
            </w:pPr>
            <w:r w:rsidRPr="00056114">
              <w:rPr>
                <w:rFonts w:cstheme="minorHAnsi"/>
                <w:sz w:val="20"/>
                <w:szCs w:val="20"/>
              </w:rPr>
              <w:t>Oracle</w:t>
            </w:r>
          </w:p>
          <w:p w14:paraId="573C099A" w14:textId="37B2CB1E" w:rsidR="007B24CD" w:rsidRPr="00056114" w:rsidRDefault="007B24CD" w:rsidP="009C543C">
            <w:pPr>
              <w:pStyle w:val="NoSpacing"/>
              <w:rPr>
                <w:rFonts w:cstheme="minorHAnsi"/>
                <w:sz w:val="20"/>
                <w:szCs w:val="20"/>
              </w:rPr>
            </w:pPr>
          </w:p>
        </w:tc>
      </w:tr>
      <w:tr w:rsidR="004E53FD" w:rsidRPr="002F1AA4" w14:paraId="32C51514" w14:textId="6C0A52D5" w:rsidTr="00CA2CD2">
        <w:trPr>
          <w:cnfStyle w:val="000000010000" w:firstRow="0" w:lastRow="0" w:firstColumn="0" w:lastColumn="0" w:oddVBand="0" w:evenVBand="0" w:oddHBand="0" w:evenHBand="1" w:firstRowFirstColumn="0" w:firstRowLastColumn="0" w:lastRowFirstColumn="0" w:lastRowLastColumn="0"/>
        </w:trPr>
        <w:tc>
          <w:tcPr>
            <w:tcW w:w="1885" w:type="dxa"/>
            <w:shd w:val="clear" w:color="auto" w:fill="F2F2F2" w:themeFill="background1" w:themeFillShade="F2"/>
          </w:tcPr>
          <w:p w14:paraId="22761884" w14:textId="5B043C6A" w:rsidR="004E53FD" w:rsidRPr="00056114" w:rsidRDefault="004E53FD" w:rsidP="004E53FD">
            <w:pPr>
              <w:rPr>
                <w:rFonts w:cstheme="minorHAnsi"/>
                <w:sz w:val="20"/>
                <w:szCs w:val="20"/>
              </w:rPr>
            </w:pPr>
            <w:hyperlink r:id="rId27" w:history="1">
              <w:r w:rsidRPr="00B01800">
                <w:rPr>
                  <w:rStyle w:val="Hyperlink"/>
                  <w:rFonts w:cstheme="minorHAnsi"/>
                  <w:sz w:val="20"/>
                  <w:szCs w:val="20"/>
                </w:rPr>
                <w:t>Classification of Employee Fellow vs Nonemployee Fellow</w:t>
              </w:r>
            </w:hyperlink>
          </w:p>
        </w:tc>
        <w:tc>
          <w:tcPr>
            <w:tcW w:w="5940" w:type="dxa"/>
            <w:shd w:val="clear" w:color="auto" w:fill="F2F2F2" w:themeFill="background1" w:themeFillShade="F2"/>
          </w:tcPr>
          <w:p w14:paraId="70602053" w14:textId="3908B8A3" w:rsidR="004E53FD" w:rsidRPr="004E53FD" w:rsidRDefault="004E53FD" w:rsidP="004E53FD">
            <w:pPr>
              <w:pStyle w:val="NoSpacing"/>
              <w:rPr>
                <w:rFonts w:cstheme="minorHAnsi"/>
                <w:sz w:val="20"/>
                <w:szCs w:val="20"/>
              </w:rPr>
            </w:pPr>
            <w:r w:rsidRPr="004E53FD">
              <w:rPr>
                <w:rFonts w:cstheme="minorHAnsi"/>
                <w:sz w:val="20"/>
                <w:szCs w:val="20"/>
              </w:rPr>
              <w:t xml:space="preserve">At Harvard, research scholars who are neither students nor faculty members are known by a variety of titles (fellow, postdoc, scholar, trainee, grantee, stipendee, awardee, etc.). Regardless of title, it is important that these individuals be correctly classified either as Harvard employees (receiving payments of employee compensation from Harvard) or nonemployees (receiving nonemployee </w:t>
            </w:r>
            <w:proofErr w:type="gramStart"/>
            <w:r w:rsidRPr="004E53FD">
              <w:rPr>
                <w:rFonts w:cstheme="minorHAnsi"/>
                <w:sz w:val="20"/>
                <w:szCs w:val="20"/>
              </w:rPr>
              <w:t>fellowship payments</w:t>
            </w:r>
            <w:proofErr w:type="gramEnd"/>
            <w:r w:rsidRPr="004E53FD">
              <w:rPr>
                <w:rFonts w:cstheme="minorHAnsi"/>
                <w:sz w:val="20"/>
                <w:szCs w:val="20"/>
              </w:rPr>
              <w:t xml:space="preserve"> from Harvard). A misclassification may result in adverse tax or other consequences to Harvard or the individual (who, for the sake of consistency, are referred to as “fellows” below).</w:t>
            </w:r>
          </w:p>
        </w:tc>
        <w:tc>
          <w:tcPr>
            <w:tcW w:w="1800" w:type="dxa"/>
            <w:shd w:val="clear" w:color="auto" w:fill="F2F2F2" w:themeFill="background1" w:themeFillShade="F2"/>
          </w:tcPr>
          <w:p w14:paraId="60541FF1" w14:textId="3583E8FD" w:rsidR="004E53FD" w:rsidRPr="009422AA" w:rsidRDefault="004E53FD" w:rsidP="004E53FD">
            <w:pPr>
              <w:pStyle w:val="NoSpacing"/>
              <w:rPr>
                <w:rFonts w:cstheme="minorHAnsi"/>
                <w:color w:val="1E1E1E"/>
                <w:sz w:val="20"/>
                <w:szCs w:val="20"/>
                <w:highlight w:val="lightGray"/>
                <w:shd w:val="clear" w:color="auto" w:fill="FFFFFF"/>
              </w:rPr>
            </w:pPr>
            <w:r>
              <w:rPr>
                <w:sz w:val="20"/>
                <w:szCs w:val="20"/>
                <w:lang w:val="en"/>
              </w:rPr>
              <w:t>N/A</w:t>
            </w:r>
            <w:r w:rsidRPr="00056114">
              <w:rPr>
                <w:sz w:val="20"/>
                <w:szCs w:val="20"/>
                <w:lang w:val="en"/>
              </w:rPr>
              <w:t xml:space="preserve"> </w:t>
            </w:r>
          </w:p>
        </w:tc>
        <w:tc>
          <w:tcPr>
            <w:tcW w:w="1530" w:type="dxa"/>
            <w:shd w:val="clear" w:color="auto" w:fill="F2F2F2" w:themeFill="background1" w:themeFillShade="F2"/>
          </w:tcPr>
          <w:p w14:paraId="1D85C311" w14:textId="36FBDAE1" w:rsidR="00AB239E" w:rsidRDefault="00AB239E" w:rsidP="00AB239E">
            <w:pPr>
              <w:pStyle w:val="NoSpacing"/>
              <w:spacing w:after="120"/>
              <w:rPr>
                <w:rFonts w:cstheme="minorHAnsi"/>
                <w:sz w:val="20"/>
                <w:szCs w:val="20"/>
              </w:rPr>
            </w:pPr>
            <w:hyperlink r:id="rId28" w:history="1">
              <w:r w:rsidRPr="005502C6">
                <w:rPr>
                  <w:rStyle w:val="Hyperlink"/>
                  <w:rFonts w:cstheme="minorHAnsi"/>
                  <w:sz w:val="20"/>
                  <w:szCs w:val="20"/>
                </w:rPr>
                <w:t>B2P</w:t>
              </w:r>
            </w:hyperlink>
          </w:p>
          <w:p w14:paraId="454FE2FE" w14:textId="77777777" w:rsidR="00AB239E" w:rsidRDefault="00AB239E" w:rsidP="00AB239E">
            <w:pPr>
              <w:pStyle w:val="NoSpacing"/>
              <w:spacing w:after="120"/>
              <w:rPr>
                <w:rFonts w:cstheme="minorHAnsi"/>
                <w:sz w:val="20"/>
                <w:szCs w:val="20"/>
              </w:rPr>
            </w:pPr>
            <w:hyperlink r:id="rId29" w:history="1">
              <w:r w:rsidRPr="009E1D08">
                <w:rPr>
                  <w:rStyle w:val="Hyperlink"/>
                  <w:rFonts w:cstheme="minorHAnsi"/>
                  <w:sz w:val="20"/>
                  <w:szCs w:val="20"/>
                </w:rPr>
                <w:t>Concur</w:t>
              </w:r>
            </w:hyperlink>
          </w:p>
          <w:p w14:paraId="45A4A063" w14:textId="5183B8A8" w:rsidR="004E53FD" w:rsidRDefault="004E53FD" w:rsidP="004E53FD">
            <w:pPr>
              <w:pStyle w:val="NoSpacing"/>
              <w:rPr>
                <w:rFonts w:cstheme="minorHAnsi"/>
                <w:color w:val="1E1E1E"/>
                <w:sz w:val="20"/>
                <w:szCs w:val="20"/>
                <w:highlight w:val="lightGray"/>
                <w:shd w:val="clear" w:color="auto" w:fill="FFFFFF"/>
              </w:rPr>
            </w:pPr>
          </w:p>
        </w:tc>
        <w:tc>
          <w:tcPr>
            <w:tcW w:w="1710" w:type="dxa"/>
            <w:shd w:val="clear" w:color="auto" w:fill="F2F2F2" w:themeFill="background1" w:themeFillShade="F2"/>
          </w:tcPr>
          <w:p w14:paraId="568705AF" w14:textId="3CA4D94E" w:rsidR="004E53FD" w:rsidRDefault="004E53FD" w:rsidP="004E53FD">
            <w:pPr>
              <w:pStyle w:val="NoSpacing"/>
              <w:rPr>
                <w:color w:val="1E1E1E"/>
                <w:sz w:val="20"/>
                <w:szCs w:val="20"/>
                <w:highlight w:val="lightGray"/>
                <w:shd w:val="clear" w:color="auto" w:fill="FFFFFF"/>
              </w:rPr>
            </w:pPr>
            <w:r>
              <w:rPr>
                <w:rFonts w:cstheme="minorHAnsi"/>
                <w:sz w:val="20"/>
                <w:szCs w:val="20"/>
              </w:rPr>
              <w:t>Financial Policy Office</w:t>
            </w:r>
          </w:p>
        </w:tc>
        <w:tc>
          <w:tcPr>
            <w:tcW w:w="1350" w:type="dxa"/>
            <w:shd w:val="clear" w:color="auto" w:fill="F2F2F2" w:themeFill="background1" w:themeFillShade="F2"/>
          </w:tcPr>
          <w:p w14:paraId="30B31CA3" w14:textId="77777777" w:rsidR="004E53FD" w:rsidRDefault="004E53FD" w:rsidP="004E53FD">
            <w:pPr>
              <w:pStyle w:val="NoSpacing"/>
              <w:rPr>
                <w:rFonts w:cstheme="minorHAnsi"/>
                <w:sz w:val="20"/>
                <w:szCs w:val="20"/>
              </w:rPr>
            </w:pPr>
            <w:r>
              <w:rPr>
                <w:rFonts w:cstheme="minorHAnsi"/>
                <w:sz w:val="20"/>
                <w:szCs w:val="20"/>
              </w:rPr>
              <w:t>B2P</w:t>
            </w:r>
          </w:p>
          <w:p w14:paraId="625E7467" w14:textId="77777777" w:rsidR="004E53FD" w:rsidRDefault="004E53FD" w:rsidP="004E53FD">
            <w:pPr>
              <w:pStyle w:val="NoSpacing"/>
              <w:rPr>
                <w:rFonts w:cstheme="minorHAnsi"/>
                <w:sz w:val="20"/>
                <w:szCs w:val="20"/>
              </w:rPr>
            </w:pPr>
            <w:r>
              <w:rPr>
                <w:rFonts w:cstheme="minorHAnsi"/>
                <w:sz w:val="20"/>
                <w:szCs w:val="20"/>
              </w:rPr>
              <w:t>Concur</w:t>
            </w:r>
          </w:p>
          <w:p w14:paraId="5CA46F6E" w14:textId="77777777" w:rsidR="004E53FD" w:rsidRPr="00056114" w:rsidRDefault="004E53FD" w:rsidP="004E53FD">
            <w:pPr>
              <w:rPr>
                <w:rFonts w:cstheme="minorHAnsi"/>
                <w:b/>
                <w:sz w:val="20"/>
                <w:szCs w:val="20"/>
              </w:rPr>
            </w:pPr>
            <w:r w:rsidRPr="00056114">
              <w:rPr>
                <w:rFonts w:cstheme="minorHAnsi"/>
                <w:sz w:val="20"/>
                <w:szCs w:val="20"/>
              </w:rPr>
              <w:t>Oracle</w:t>
            </w:r>
          </w:p>
          <w:p w14:paraId="6318A1F3" w14:textId="0AE28FCB" w:rsidR="004E53FD" w:rsidRPr="009422AA" w:rsidRDefault="004E53FD" w:rsidP="004E53FD">
            <w:pPr>
              <w:pStyle w:val="NoSpacing"/>
              <w:rPr>
                <w:rFonts w:cstheme="minorHAnsi"/>
                <w:color w:val="1E1E1E"/>
                <w:sz w:val="20"/>
                <w:szCs w:val="20"/>
                <w:highlight w:val="lightGray"/>
                <w:shd w:val="clear" w:color="auto" w:fill="FFFFFF"/>
              </w:rPr>
            </w:pPr>
          </w:p>
        </w:tc>
      </w:tr>
      <w:tr w:rsidR="007B24CD" w:rsidRPr="00056114" w14:paraId="5AD676DF" w14:textId="47808447" w:rsidTr="00B50AAC">
        <w:tc>
          <w:tcPr>
            <w:tcW w:w="1885" w:type="dxa"/>
          </w:tcPr>
          <w:p w14:paraId="00052CE8" w14:textId="3B5AC9F4" w:rsidR="007B24CD" w:rsidRPr="00056114" w:rsidRDefault="007B24CD" w:rsidP="009C543C">
            <w:pPr>
              <w:rPr>
                <w:rFonts w:cstheme="minorHAnsi"/>
                <w:sz w:val="20"/>
                <w:szCs w:val="20"/>
                <w:u w:val="single"/>
              </w:rPr>
            </w:pPr>
            <w:hyperlink r:id="rId30" w:history="1">
              <w:r w:rsidRPr="005F5390">
                <w:rPr>
                  <w:rStyle w:val="Hyperlink"/>
                  <w:rFonts w:cstheme="minorHAnsi"/>
                  <w:sz w:val="20"/>
                  <w:szCs w:val="20"/>
                </w:rPr>
                <w:t>Commitments and Contingencies</w:t>
              </w:r>
            </w:hyperlink>
          </w:p>
        </w:tc>
        <w:tc>
          <w:tcPr>
            <w:tcW w:w="5940" w:type="dxa"/>
          </w:tcPr>
          <w:p w14:paraId="318F204A" w14:textId="6D0DA828" w:rsidR="007B24CD" w:rsidRPr="00056114" w:rsidRDefault="007B24CD" w:rsidP="009C543C">
            <w:pPr>
              <w:pStyle w:val="NoSpacing"/>
              <w:rPr>
                <w:rFonts w:cstheme="minorHAnsi"/>
                <w:sz w:val="20"/>
                <w:szCs w:val="20"/>
              </w:rPr>
            </w:pPr>
            <w:r w:rsidRPr="00056114">
              <w:rPr>
                <w:rFonts w:cstheme="minorHAnsi"/>
                <w:sz w:val="20"/>
                <w:szCs w:val="20"/>
              </w:rPr>
              <w:t xml:space="preserve">This policy establishes how and when the University must account for commitments and contingencies. To ensure commitments and contingencies are recorded and reported properly, </w:t>
            </w:r>
            <w:r w:rsidR="00EC339A">
              <w:rPr>
                <w:rFonts w:cstheme="minorHAnsi"/>
                <w:sz w:val="20"/>
                <w:szCs w:val="20"/>
              </w:rPr>
              <w:t>schools</w:t>
            </w:r>
            <w:r w:rsidR="00A84897">
              <w:rPr>
                <w:rFonts w:cstheme="minorHAnsi"/>
                <w:sz w:val="20"/>
                <w:szCs w:val="20"/>
              </w:rPr>
              <w:t>/units</w:t>
            </w:r>
            <w:r w:rsidRPr="00056114">
              <w:rPr>
                <w:rFonts w:cstheme="minorHAnsi"/>
                <w:sz w:val="20"/>
                <w:szCs w:val="20"/>
              </w:rPr>
              <w:t xml:space="preserve"> must record accruals for probable and estimable material loss contingencies; not record gains from contingencies until the </w:t>
            </w:r>
            <w:proofErr w:type="gramStart"/>
            <w:r w:rsidRPr="00056114">
              <w:rPr>
                <w:rFonts w:cstheme="minorHAnsi"/>
                <w:sz w:val="20"/>
                <w:szCs w:val="20"/>
              </w:rPr>
              <w:t>contingency</w:t>
            </w:r>
            <w:proofErr w:type="gramEnd"/>
            <w:r w:rsidRPr="00056114">
              <w:rPr>
                <w:rFonts w:cstheme="minorHAnsi"/>
                <w:sz w:val="20"/>
                <w:szCs w:val="20"/>
              </w:rPr>
              <w:t xml:space="preserve"> occurs and the revenue is earned; and notify Financial Accounting and Reporting of material contingencies and commitments.</w:t>
            </w:r>
          </w:p>
        </w:tc>
        <w:tc>
          <w:tcPr>
            <w:tcW w:w="1800" w:type="dxa"/>
          </w:tcPr>
          <w:p w14:paraId="004AF1DE" w14:textId="77777777" w:rsidR="007B24CD" w:rsidRDefault="00C16D3B" w:rsidP="009C543C">
            <w:pPr>
              <w:pStyle w:val="NoSpacing"/>
              <w:rPr>
                <w:rFonts w:cstheme="minorHAnsi"/>
                <w:sz w:val="20"/>
                <w:szCs w:val="20"/>
              </w:rPr>
            </w:pPr>
            <w:r>
              <w:rPr>
                <w:rFonts w:cstheme="minorHAnsi"/>
                <w:sz w:val="20"/>
                <w:szCs w:val="20"/>
              </w:rPr>
              <w:t>N/A</w:t>
            </w:r>
          </w:p>
          <w:p w14:paraId="18FC3ED2" w14:textId="6F968B77" w:rsidR="00C16D3B" w:rsidRPr="00056114" w:rsidRDefault="00C16D3B" w:rsidP="009C543C">
            <w:pPr>
              <w:pStyle w:val="NoSpacing"/>
              <w:rPr>
                <w:rFonts w:cstheme="minorHAnsi"/>
                <w:sz w:val="20"/>
                <w:szCs w:val="20"/>
              </w:rPr>
            </w:pPr>
          </w:p>
        </w:tc>
        <w:tc>
          <w:tcPr>
            <w:tcW w:w="1530" w:type="dxa"/>
          </w:tcPr>
          <w:p w14:paraId="2B6FED44" w14:textId="77777777" w:rsidR="00C16D3B" w:rsidRDefault="00C16D3B" w:rsidP="00C16D3B">
            <w:pPr>
              <w:pStyle w:val="NoSpacing"/>
              <w:rPr>
                <w:rFonts w:cstheme="minorHAnsi"/>
                <w:sz w:val="20"/>
                <w:szCs w:val="20"/>
              </w:rPr>
            </w:pPr>
            <w:r>
              <w:rPr>
                <w:rFonts w:cstheme="minorHAnsi"/>
                <w:sz w:val="20"/>
                <w:szCs w:val="20"/>
              </w:rPr>
              <w:t>N/A</w:t>
            </w:r>
          </w:p>
          <w:p w14:paraId="193B6A63" w14:textId="77777777" w:rsidR="007B24CD" w:rsidRPr="00E56FAF" w:rsidRDefault="007B24CD" w:rsidP="009C543C">
            <w:pPr>
              <w:pStyle w:val="NoSpacing"/>
              <w:rPr>
                <w:rFonts w:cstheme="minorHAnsi"/>
                <w:sz w:val="20"/>
                <w:szCs w:val="20"/>
              </w:rPr>
            </w:pPr>
          </w:p>
        </w:tc>
        <w:tc>
          <w:tcPr>
            <w:tcW w:w="1710" w:type="dxa"/>
          </w:tcPr>
          <w:p w14:paraId="6D283807" w14:textId="63808B91" w:rsidR="007B24CD" w:rsidRPr="00E56FAF" w:rsidRDefault="00123ECF" w:rsidP="009C543C">
            <w:pPr>
              <w:pStyle w:val="NoSpacing"/>
              <w:rPr>
                <w:rFonts w:cstheme="minorHAnsi"/>
                <w:sz w:val="20"/>
                <w:szCs w:val="20"/>
              </w:rPr>
            </w:pPr>
            <w:r>
              <w:rPr>
                <w:rFonts w:cstheme="minorHAnsi"/>
                <w:sz w:val="20"/>
                <w:szCs w:val="20"/>
              </w:rPr>
              <w:t>Financial Accounting and Reporting</w:t>
            </w:r>
          </w:p>
        </w:tc>
        <w:tc>
          <w:tcPr>
            <w:tcW w:w="1350" w:type="dxa"/>
          </w:tcPr>
          <w:p w14:paraId="285F65DF" w14:textId="53EAAE29" w:rsidR="007B24CD" w:rsidRPr="00056114" w:rsidRDefault="007B24CD" w:rsidP="009C543C">
            <w:pPr>
              <w:pStyle w:val="NoSpacing"/>
              <w:rPr>
                <w:rFonts w:cstheme="minorHAnsi"/>
                <w:sz w:val="20"/>
                <w:szCs w:val="20"/>
              </w:rPr>
            </w:pPr>
            <w:r w:rsidRPr="00E56FAF">
              <w:rPr>
                <w:rFonts w:cstheme="minorHAnsi"/>
                <w:sz w:val="20"/>
                <w:szCs w:val="20"/>
              </w:rPr>
              <w:t>Oracle</w:t>
            </w:r>
          </w:p>
        </w:tc>
      </w:tr>
      <w:tr w:rsidR="004E53FD" w:rsidRPr="00056114" w14:paraId="12999732" w14:textId="34C5448D" w:rsidTr="00CA2CD2">
        <w:trPr>
          <w:cnfStyle w:val="000000010000" w:firstRow="0" w:lastRow="0" w:firstColumn="0" w:lastColumn="0" w:oddVBand="0" w:evenVBand="0" w:oddHBand="0" w:evenHBand="1" w:firstRowFirstColumn="0" w:firstRowLastColumn="0" w:lastRowFirstColumn="0" w:lastRowLastColumn="0"/>
        </w:trPr>
        <w:tc>
          <w:tcPr>
            <w:tcW w:w="1885" w:type="dxa"/>
            <w:shd w:val="clear" w:color="auto" w:fill="F2F2F2" w:themeFill="background1" w:themeFillShade="F2"/>
          </w:tcPr>
          <w:p w14:paraId="1D83851A" w14:textId="5F837896" w:rsidR="004E53FD" w:rsidRPr="00056114" w:rsidRDefault="004E53FD" w:rsidP="004E53FD">
            <w:pPr>
              <w:rPr>
                <w:rFonts w:cstheme="minorHAnsi"/>
                <w:sz w:val="20"/>
                <w:szCs w:val="20"/>
                <w:u w:val="single"/>
              </w:rPr>
            </w:pPr>
            <w:hyperlink r:id="rId31" w:history="1">
              <w:r w:rsidRPr="00A02D67">
                <w:rPr>
                  <w:rStyle w:val="Hyperlink"/>
                  <w:rFonts w:cstheme="minorHAnsi"/>
                  <w:sz w:val="20"/>
                  <w:szCs w:val="20"/>
                </w:rPr>
                <w:t>Expense Recognition</w:t>
              </w:r>
            </w:hyperlink>
          </w:p>
        </w:tc>
        <w:tc>
          <w:tcPr>
            <w:tcW w:w="5940" w:type="dxa"/>
            <w:shd w:val="clear" w:color="auto" w:fill="F2F2F2" w:themeFill="background1" w:themeFillShade="F2"/>
          </w:tcPr>
          <w:p w14:paraId="697D9A69" w14:textId="53D67C54" w:rsidR="004E53FD" w:rsidRPr="00056114" w:rsidRDefault="004E53FD" w:rsidP="004E53FD">
            <w:pPr>
              <w:pStyle w:val="NoSpacing"/>
              <w:rPr>
                <w:rFonts w:cstheme="minorHAnsi"/>
                <w:sz w:val="20"/>
                <w:szCs w:val="20"/>
              </w:rPr>
            </w:pPr>
            <w:r w:rsidRPr="00056114">
              <w:rPr>
                <w:rFonts w:cstheme="minorHAnsi"/>
                <w:sz w:val="20"/>
                <w:szCs w:val="20"/>
              </w:rPr>
              <w:t>This policy establishes when and how expenses or accrued expenses need to be recorded in Harvard’s General Ledger. The University requires that expenses be recognized on an accrual basis, in accordance with generally accepted accounting principles (GAAP).</w:t>
            </w:r>
          </w:p>
        </w:tc>
        <w:tc>
          <w:tcPr>
            <w:tcW w:w="1800" w:type="dxa"/>
            <w:shd w:val="clear" w:color="auto" w:fill="F2F2F2" w:themeFill="background1" w:themeFillShade="F2"/>
          </w:tcPr>
          <w:p w14:paraId="68C58ADD" w14:textId="050E3B95" w:rsidR="004E53FD" w:rsidRPr="00056114" w:rsidRDefault="004E53FD" w:rsidP="004E53FD">
            <w:pPr>
              <w:pStyle w:val="NoSpacing"/>
              <w:rPr>
                <w:rFonts w:cstheme="minorHAnsi"/>
                <w:sz w:val="20"/>
                <w:szCs w:val="20"/>
              </w:rPr>
            </w:pPr>
            <w:r>
              <w:rPr>
                <w:sz w:val="20"/>
                <w:szCs w:val="20"/>
                <w:lang w:val="en"/>
              </w:rPr>
              <w:t>N/A</w:t>
            </w:r>
            <w:r w:rsidRPr="00056114">
              <w:rPr>
                <w:sz w:val="20"/>
                <w:szCs w:val="20"/>
                <w:lang w:val="en"/>
              </w:rPr>
              <w:t xml:space="preserve"> </w:t>
            </w:r>
          </w:p>
        </w:tc>
        <w:tc>
          <w:tcPr>
            <w:tcW w:w="1530" w:type="dxa"/>
            <w:shd w:val="clear" w:color="auto" w:fill="F2F2F2" w:themeFill="background1" w:themeFillShade="F2"/>
          </w:tcPr>
          <w:p w14:paraId="21BF8ACA" w14:textId="77777777" w:rsidR="00AB239E" w:rsidRDefault="00AB239E" w:rsidP="00AB239E">
            <w:pPr>
              <w:pStyle w:val="NoSpacing"/>
              <w:spacing w:after="120"/>
              <w:rPr>
                <w:rFonts w:cstheme="minorHAnsi"/>
                <w:sz w:val="20"/>
                <w:szCs w:val="20"/>
              </w:rPr>
            </w:pPr>
            <w:hyperlink r:id="rId32" w:history="1">
              <w:r w:rsidRPr="005502C6">
                <w:rPr>
                  <w:rStyle w:val="Hyperlink"/>
                  <w:rFonts w:cstheme="minorHAnsi"/>
                  <w:sz w:val="20"/>
                  <w:szCs w:val="20"/>
                </w:rPr>
                <w:t>B2P</w:t>
              </w:r>
            </w:hyperlink>
          </w:p>
          <w:p w14:paraId="720D091B" w14:textId="77777777" w:rsidR="00AB239E" w:rsidRDefault="00AB239E" w:rsidP="00AB239E">
            <w:pPr>
              <w:pStyle w:val="NoSpacing"/>
              <w:spacing w:after="120"/>
              <w:rPr>
                <w:rFonts w:cstheme="minorHAnsi"/>
                <w:sz w:val="20"/>
                <w:szCs w:val="20"/>
              </w:rPr>
            </w:pPr>
            <w:hyperlink r:id="rId33" w:history="1">
              <w:r w:rsidRPr="009E1D08">
                <w:rPr>
                  <w:rStyle w:val="Hyperlink"/>
                  <w:rFonts w:cstheme="minorHAnsi"/>
                  <w:sz w:val="20"/>
                  <w:szCs w:val="20"/>
                </w:rPr>
                <w:t>Concur</w:t>
              </w:r>
            </w:hyperlink>
          </w:p>
          <w:p w14:paraId="0C1404AF" w14:textId="0D96ECF4" w:rsidR="004E53FD" w:rsidRDefault="004E53FD" w:rsidP="004E53FD">
            <w:pPr>
              <w:pStyle w:val="NoSpacing"/>
              <w:rPr>
                <w:rFonts w:cstheme="minorHAnsi"/>
                <w:sz w:val="20"/>
                <w:szCs w:val="20"/>
              </w:rPr>
            </w:pPr>
          </w:p>
        </w:tc>
        <w:tc>
          <w:tcPr>
            <w:tcW w:w="1710" w:type="dxa"/>
            <w:shd w:val="clear" w:color="auto" w:fill="F2F2F2" w:themeFill="background1" w:themeFillShade="F2"/>
          </w:tcPr>
          <w:p w14:paraId="420D1A07" w14:textId="2D9AB77F" w:rsidR="004E53FD" w:rsidRDefault="004E53FD" w:rsidP="004E53FD">
            <w:pPr>
              <w:pStyle w:val="NoSpacing"/>
              <w:rPr>
                <w:rFonts w:cstheme="minorHAnsi"/>
                <w:sz w:val="20"/>
                <w:szCs w:val="20"/>
              </w:rPr>
            </w:pPr>
            <w:r>
              <w:rPr>
                <w:rFonts w:cstheme="minorHAnsi"/>
                <w:sz w:val="20"/>
                <w:szCs w:val="20"/>
              </w:rPr>
              <w:t>Financial Accounting and Reporting</w:t>
            </w:r>
          </w:p>
        </w:tc>
        <w:tc>
          <w:tcPr>
            <w:tcW w:w="1350" w:type="dxa"/>
            <w:shd w:val="clear" w:color="auto" w:fill="F2F2F2" w:themeFill="background1" w:themeFillShade="F2"/>
          </w:tcPr>
          <w:p w14:paraId="488B5DEC" w14:textId="2800CEDF" w:rsidR="004E53FD" w:rsidRDefault="004E53FD" w:rsidP="004E53FD">
            <w:pPr>
              <w:pStyle w:val="NoSpacing"/>
              <w:rPr>
                <w:rFonts w:cstheme="minorHAnsi"/>
                <w:sz w:val="20"/>
                <w:szCs w:val="20"/>
              </w:rPr>
            </w:pPr>
            <w:r>
              <w:rPr>
                <w:rFonts w:cstheme="minorHAnsi"/>
                <w:sz w:val="20"/>
                <w:szCs w:val="20"/>
              </w:rPr>
              <w:t>B2P</w:t>
            </w:r>
          </w:p>
          <w:p w14:paraId="259F0047" w14:textId="77777777" w:rsidR="004E53FD" w:rsidRDefault="004E53FD" w:rsidP="004E53FD">
            <w:pPr>
              <w:pStyle w:val="NoSpacing"/>
              <w:rPr>
                <w:rFonts w:cstheme="minorHAnsi"/>
                <w:sz w:val="20"/>
                <w:szCs w:val="20"/>
              </w:rPr>
            </w:pPr>
            <w:r>
              <w:rPr>
                <w:rFonts w:cstheme="minorHAnsi"/>
                <w:sz w:val="20"/>
                <w:szCs w:val="20"/>
              </w:rPr>
              <w:t>Concur</w:t>
            </w:r>
          </w:p>
          <w:p w14:paraId="5FDA5997" w14:textId="77777777" w:rsidR="004E53FD" w:rsidRPr="00056114" w:rsidRDefault="004E53FD" w:rsidP="004E53FD">
            <w:pPr>
              <w:rPr>
                <w:rFonts w:cstheme="minorHAnsi"/>
                <w:b/>
                <w:sz w:val="20"/>
                <w:szCs w:val="20"/>
              </w:rPr>
            </w:pPr>
            <w:r w:rsidRPr="00056114">
              <w:rPr>
                <w:rFonts w:cstheme="minorHAnsi"/>
                <w:sz w:val="20"/>
                <w:szCs w:val="20"/>
              </w:rPr>
              <w:t>Oracle</w:t>
            </w:r>
          </w:p>
          <w:p w14:paraId="0EE39D75" w14:textId="77777777" w:rsidR="004E53FD" w:rsidRPr="00056114" w:rsidRDefault="004E53FD" w:rsidP="004E53FD">
            <w:pPr>
              <w:pStyle w:val="NoSpacing"/>
              <w:rPr>
                <w:rFonts w:cstheme="minorHAnsi"/>
                <w:sz w:val="20"/>
                <w:szCs w:val="20"/>
              </w:rPr>
            </w:pPr>
          </w:p>
        </w:tc>
      </w:tr>
      <w:tr w:rsidR="00C16D3B" w:rsidRPr="00056114" w14:paraId="70EE0ACF" w14:textId="77777777" w:rsidTr="00B50AAC">
        <w:tc>
          <w:tcPr>
            <w:tcW w:w="1885" w:type="dxa"/>
          </w:tcPr>
          <w:p w14:paraId="68BD75D4" w14:textId="6ECAE3D9" w:rsidR="00C16D3B" w:rsidRPr="002E5F84" w:rsidRDefault="00C16D3B" w:rsidP="00C16D3B">
            <w:pPr>
              <w:rPr>
                <w:rFonts w:cstheme="minorHAnsi"/>
                <w:sz w:val="20"/>
                <w:szCs w:val="20"/>
              </w:rPr>
            </w:pPr>
            <w:hyperlink r:id="rId34" w:history="1">
              <w:r w:rsidRPr="00EE02DC">
                <w:rPr>
                  <w:rStyle w:val="Hyperlink"/>
                  <w:rFonts w:cstheme="minorHAnsi"/>
                  <w:sz w:val="20"/>
                  <w:szCs w:val="20"/>
                </w:rPr>
                <w:t>Employment Outside of Massachusetts (Domestic and International)</w:t>
              </w:r>
            </w:hyperlink>
          </w:p>
          <w:p w14:paraId="475E4159" w14:textId="77777777" w:rsidR="00C16D3B" w:rsidRPr="002E5F84" w:rsidRDefault="00C16D3B" w:rsidP="00C16D3B">
            <w:pPr>
              <w:rPr>
                <w:rFonts w:cstheme="minorHAnsi"/>
                <w:sz w:val="20"/>
                <w:szCs w:val="20"/>
              </w:rPr>
            </w:pPr>
          </w:p>
          <w:p w14:paraId="3C6180FF" w14:textId="049CEA00" w:rsidR="00C16D3B" w:rsidRPr="00EE02DC" w:rsidRDefault="00C16D3B" w:rsidP="00C16D3B">
            <w:pPr>
              <w:rPr>
                <w:rFonts w:cstheme="minorHAnsi"/>
                <w:sz w:val="20"/>
                <w:szCs w:val="20"/>
              </w:rPr>
            </w:pPr>
            <w:r w:rsidRPr="002E5F84">
              <w:rPr>
                <w:rFonts w:cstheme="minorHAnsi"/>
                <w:sz w:val="20"/>
                <w:szCs w:val="20"/>
              </w:rPr>
              <w:t>(previously Interim Payroll Policy)</w:t>
            </w:r>
          </w:p>
        </w:tc>
        <w:tc>
          <w:tcPr>
            <w:tcW w:w="5940" w:type="dxa"/>
          </w:tcPr>
          <w:p w14:paraId="039E9700" w14:textId="704119D2" w:rsidR="00C16D3B" w:rsidRPr="339F7475" w:rsidRDefault="00C16D3B" w:rsidP="00C16D3B">
            <w:pPr>
              <w:pStyle w:val="NoSpacing"/>
              <w:rPr>
                <w:sz w:val="20"/>
                <w:szCs w:val="20"/>
              </w:rPr>
            </w:pPr>
            <w:r w:rsidRPr="00B516C5">
              <w:rPr>
                <w:rFonts w:cstheme="minorHAnsi"/>
                <w:sz w:val="20"/>
                <w:szCs w:val="20"/>
                <w:shd w:val="clear" w:color="auto" w:fill="FFFFFF" w:themeFill="background1"/>
              </w:rPr>
              <w:t>Harvard may directly employ individuals who work in the states where Harvard has a registered payroll (Registered Payroll State). Employees working in those states are required to allocate their state tax withholdings according to the percentage of time spent working in each state</w:t>
            </w:r>
            <w:r w:rsidR="000138CC" w:rsidRPr="00B516C5">
              <w:rPr>
                <w:rFonts w:cstheme="minorHAnsi"/>
                <w:sz w:val="20"/>
                <w:szCs w:val="20"/>
                <w:shd w:val="clear" w:color="auto" w:fill="FFFFFF" w:themeFill="background1"/>
              </w:rPr>
              <w:t xml:space="preserve">. </w:t>
            </w:r>
            <w:r w:rsidRPr="00B516C5">
              <w:rPr>
                <w:rFonts w:cstheme="minorHAnsi"/>
                <w:sz w:val="20"/>
                <w:szCs w:val="20"/>
                <w:shd w:val="clear" w:color="auto" w:fill="FFFFFF" w:themeFill="background1"/>
              </w:rPr>
              <w:t xml:space="preserve">It is the responsibility of individual employees </w:t>
            </w:r>
            <w:r>
              <w:rPr>
                <w:rFonts w:cstheme="minorHAnsi"/>
                <w:sz w:val="20"/>
                <w:szCs w:val="20"/>
                <w:shd w:val="clear" w:color="auto" w:fill="FFFFFF" w:themeFill="background1"/>
              </w:rPr>
              <w:t>to record this information accurately</w:t>
            </w:r>
            <w:r w:rsidRPr="00B516C5">
              <w:rPr>
                <w:rFonts w:cstheme="minorHAnsi"/>
                <w:sz w:val="20"/>
                <w:szCs w:val="20"/>
                <w:shd w:val="clear" w:color="auto" w:fill="FFFFFF" w:themeFill="background1"/>
              </w:rPr>
              <w:t xml:space="preserve">, notify Central Payroll of changes to their work location, and submit or update any required forms on a timely basis. </w:t>
            </w:r>
          </w:p>
        </w:tc>
        <w:tc>
          <w:tcPr>
            <w:tcW w:w="1800" w:type="dxa"/>
          </w:tcPr>
          <w:p w14:paraId="76137EBD" w14:textId="0415A85C" w:rsidR="00C16D3B" w:rsidRPr="339F7475" w:rsidRDefault="00C16D3B" w:rsidP="00C16D3B">
            <w:pPr>
              <w:pStyle w:val="NoSpacing"/>
              <w:rPr>
                <w:sz w:val="20"/>
                <w:szCs w:val="20"/>
              </w:rPr>
            </w:pPr>
            <w:r w:rsidRPr="009023F2">
              <w:rPr>
                <w:rFonts w:cstheme="minorHAnsi"/>
                <w:sz w:val="20"/>
                <w:szCs w:val="20"/>
              </w:rPr>
              <w:t>N/A</w:t>
            </w:r>
          </w:p>
        </w:tc>
        <w:tc>
          <w:tcPr>
            <w:tcW w:w="1530" w:type="dxa"/>
          </w:tcPr>
          <w:p w14:paraId="64F20B26" w14:textId="4DE87A7B" w:rsidR="00C16D3B" w:rsidRDefault="00C16D3B" w:rsidP="00C16D3B">
            <w:pPr>
              <w:pStyle w:val="NoSpacing"/>
              <w:rPr>
                <w:rFonts w:cstheme="minorHAnsi"/>
                <w:sz w:val="20"/>
                <w:szCs w:val="20"/>
              </w:rPr>
            </w:pPr>
            <w:r w:rsidRPr="009023F2">
              <w:rPr>
                <w:rFonts w:cstheme="minorHAnsi"/>
                <w:sz w:val="20"/>
                <w:szCs w:val="20"/>
              </w:rPr>
              <w:t>N/A</w:t>
            </w:r>
          </w:p>
        </w:tc>
        <w:tc>
          <w:tcPr>
            <w:tcW w:w="1710" w:type="dxa"/>
          </w:tcPr>
          <w:p w14:paraId="34A29FA0" w14:textId="54D73606" w:rsidR="00C16D3B" w:rsidRDefault="00C16D3B" w:rsidP="00C16D3B">
            <w:pPr>
              <w:pStyle w:val="NoSpacing"/>
              <w:rPr>
                <w:rFonts w:cstheme="minorHAnsi"/>
                <w:sz w:val="20"/>
                <w:szCs w:val="20"/>
              </w:rPr>
            </w:pPr>
            <w:r w:rsidRPr="00E75976">
              <w:rPr>
                <w:rFonts w:cstheme="minorHAnsi"/>
                <w:sz w:val="20"/>
                <w:szCs w:val="20"/>
                <w:shd w:val="clear" w:color="auto" w:fill="FFFFFF" w:themeFill="background1"/>
              </w:rPr>
              <w:t>Human Resources</w:t>
            </w:r>
          </w:p>
        </w:tc>
        <w:tc>
          <w:tcPr>
            <w:tcW w:w="1350" w:type="dxa"/>
          </w:tcPr>
          <w:p w14:paraId="5DD28967" w14:textId="5F40668F" w:rsidR="00C16D3B" w:rsidRDefault="00C16D3B" w:rsidP="00C16D3B">
            <w:pPr>
              <w:pStyle w:val="NoSpacing"/>
              <w:rPr>
                <w:rFonts w:cstheme="minorHAnsi"/>
                <w:sz w:val="20"/>
                <w:szCs w:val="20"/>
              </w:rPr>
            </w:pPr>
            <w:r>
              <w:rPr>
                <w:rFonts w:cstheme="minorHAnsi"/>
                <w:sz w:val="20"/>
                <w:szCs w:val="20"/>
                <w:shd w:val="clear" w:color="auto" w:fill="FFFFFF" w:themeFill="background1"/>
              </w:rPr>
              <w:t>PeopleSoft</w:t>
            </w:r>
          </w:p>
        </w:tc>
      </w:tr>
      <w:tr w:rsidR="002F65FF" w:rsidRPr="00056114" w14:paraId="1F54D97E" w14:textId="77777777" w:rsidTr="00CA2CD2">
        <w:trPr>
          <w:cnfStyle w:val="000000010000" w:firstRow="0" w:lastRow="0" w:firstColumn="0" w:lastColumn="0" w:oddVBand="0" w:evenVBand="0" w:oddHBand="0" w:evenHBand="1" w:firstRowFirstColumn="0" w:firstRowLastColumn="0" w:lastRowFirstColumn="0" w:lastRowLastColumn="0"/>
        </w:trPr>
        <w:tc>
          <w:tcPr>
            <w:tcW w:w="1885" w:type="dxa"/>
            <w:shd w:val="clear" w:color="auto" w:fill="F2F2F2" w:themeFill="background1" w:themeFillShade="F2"/>
          </w:tcPr>
          <w:p w14:paraId="6B7209B0" w14:textId="5F035611" w:rsidR="002F65FF" w:rsidRDefault="002F65FF" w:rsidP="004E53FD">
            <w:hyperlink r:id="rId35" w:anchor="nonsponsoredresources" w:history="1">
              <w:r w:rsidRPr="006F643B">
                <w:rPr>
                  <w:rStyle w:val="Hyperlink"/>
                </w:rPr>
                <w:t xml:space="preserve">Establishing and Overseeing Harvard Non-Sponsored </w:t>
              </w:r>
              <w:r w:rsidRPr="006F643B">
                <w:rPr>
                  <w:rStyle w:val="Hyperlink"/>
                </w:rPr>
                <w:lastRenderedPageBreak/>
                <w:t>Funded Award Programs</w:t>
              </w:r>
            </w:hyperlink>
          </w:p>
        </w:tc>
        <w:tc>
          <w:tcPr>
            <w:tcW w:w="5940" w:type="dxa"/>
            <w:shd w:val="clear" w:color="auto" w:fill="F2F2F2" w:themeFill="background1" w:themeFillShade="F2"/>
          </w:tcPr>
          <w:p w14:paraId="10EA9316" w14:textId="606ABE5E" w:rsidR="002F65FF" w:rsidRPr="339F7475" w:rsidRDefault="004E4925" w:rsidP="004E53FD">
            <w:pPr>
              <w:pStyle w:val="NoSpacing"/>
              <w:rPr>
                <w:sz w:val="20"/>
                <w:szCs w:val="20"/>
              </w:rPr>
            </w:pPr>
            <w:r>
              <w:rPr>
                <w:sz w:val="20"/>
                <w:szCs w:val="20"/>
              </w:rPr>
              <w:lastRenderedPageBreak/>
              <w:t xml:space="preserve">This policy sets standards around the establishment and oversight of Harvard Non-Sponsored Funded Award Programs. This policy </w:t>
            </w:r>
            <w:r w:rsidR="00925D49">
              <w:rPr>
                <w:sz w:val="20"/>
                <w:szCs w:val="20"/>
              </w:rPr>
              <w:t>applies to</w:t>
            </w:r>
            <w:r>
              <w:rPr>
                <w:sz w:val="20"/>
                <w:szCs w:val="20"/>
              </w:rPr>
              <w:t xml:space="preserve"> where a competitive selection process is used to select award recipients to be funded using non-sponsored funds. </w:t>
            </w:r>
            <w:r w:rsidR="00925D49">
              <w:rPr>
                <w:sz w:val="20"/>
                <w:szCs w:val="20"/>
              </w:rPr>
              <w:t>This policy does not apply to institutional funds, start-up funds, or other programs that do not base funding decisions on a competitive selection process.</w:t>
            </w:r>
          </w:p>
        </w:tc>
        <w:tc>
          <w:tcPr>
            <w:tcW w:w="1800" w:type="dxa"/>
            <w:shd w:val="clear" w:color="auto" w:fill="F2F2F2" w:themeFill="background1" w:themeFillShade="F2"/>
          </w:tcPr>
          <w:p w14:paraId="12196712" w14:textId="2E44ADDA" w:rsidR="002F65FF" w:rsidRDefault="00E71C7A" w:rsidP="004E53FD">
            <w:pPr>
              <w:pStyle w:val="NoSpacing"/>
              <w:rPr>
                <w:sz w:val="20"/>
                <w:szCs w:val="20"/>
                <w:lang w:val="en"/>
              </w:rPr>
            </w:pPr>
            <w:r>
              <w:rPr>
                <w:sz w:val="20"/>
                <w:szCs w:val="20"/>
                <w:lang w:val="en"/>
              </w:rPr>
              <w:t>N/A</w:t>
            </w:r>
          </w:p>
        </w:tc>
        <w:tc>
          <w:tcPr>
            <w:tcW w:w="1530" w:type="dxa"/>
            <w:shd w:val="clear" w:color="auto" w:fill="F2F2F2" w:themeFill="background1" w:themeFillShade="F2"/>
          </w:tcPr>
          <w:p w14:paraId="7393DA3A" w14:textId="36C513C4" w:rsidR="002F65FF" w:rsidRDefault="00E71C7A" w:rsidP="00AB239E">
            <w:pPr>
              <w:pStyle w:val="NoSpacing"/>
              <w:spacing w:after="120"/>
            </w:pPr>
            <w:r>
              <w:t>N/A</w:t>
            </w:r>
          </w:p>
        </w:tc>
        <w:tc>
          <w:tcPr>
            <w:tcW w:w="1710" w:type="dxa"/>
            <w:shd w:val="clear" w:color="auto" w:fill="F2F2F2" w:themeFill="background1" w:themeFillShade="F2"/>
          </w:tcPr>
          <w:p w14:paraId="0A27E839" w14:textId="4848EBF5" w:rsidR="002F65FF" w:rsidRDefault="00E71C7A" w:rsidP="004E53FD">
            <w:pPr>
              <w:pStyle w:val="NoSpacing"/>
              <w:rPr>
                <w:rFonts w:cstheme="minorHAnsi"/>
                <w:sz w:val="20"/>
                <w:szCs w:val="20"/>
              </w:rPr>
            </w:pPr>
            <w:r>
              <w:rPr>
                <w:rFonts w:cstheme="minorHAnsi"/>
                <w:sz w:val="20"/>
                <w:szCs w:val="20"/>
              </w:rPr>
              <w:t>Financial Accounting and Reporting</w:t>
            </w:r>
          </w:p>
        </w:tc>
        <w:tc>
          <w:tcPr>
            <w:tcW w:w="1350" w:type="dxa"/>
            <w:shd w:val="clear" w:color="auto" w:fill="F2F2F2" w:themeFill="background1" w:themeFillShade="F2"/>
          </w:tcPr>
          <w:p w14:paraId="5038AF1D" w14:textId="77777777" w:rsidR="0081070D" w:rsidRDefault="0081070D" w:rsidP="004E53FD">
            <w:pPr>
              <w:pStyle w:val="NoSpacing"/>
              <w:rPr>
                <w:rFonts w:cstheme="minorHAnsi"/>
                <w:sz w:val="20"/>
                <w:szCs w:val="20"/>
              </w:rPr>
            </w:pPr>
            <w:r>
              <w:rPr>
                <w:rFonts w:cstheme="minorHAnsi"/>
                <w:sz w:val="20"/>
                <w:szCs w:val="20"/>
              </w:rPr>
              <w:t>B2P</w:t>
            </w:r>
          </w:p>
          <w:p w14:paraId="5D3510BF" w14:textId="66E73DBF" w:rsidR="002F65FF" w:rsidRDefault="00D507A2" w:rsidP="004E53FD">
            <w:pPr>
              <w:pStyle w:val="NoSpacing"/>
              <w:rPr>
                <w:rFonts w:cstheme="minorHAnsi"/>
                <w:sz w:val="20"/>
                <w:szCs w:val="20"/>
              </w:rPr>
            </w:pPr>
            <w:r>
              <w:rPr>
                <w:rFonts w:cstheme="minorHAnsi"/>
                <w:sz w:val="20"/>
                <w:szCs w:val="20"/>
              </w:rPr>
              <w:t>Oracle</w:t>
            </w:r>
          </w:p>
          <w:p w14:paraId="38047DA4" w14:textId="29A2C680" w:rsidR="0081070D" w:rsidRDefault="0081070D" w:rsidP="004E53FD">
            <w:pPr>
              <w:pStyle w:val="NoSpacing"/>
              <w:rPr>
                <w:rFonts w:cstheme="minorHAnsi"/>
                <w:sz w:val="20"/>
                <w:szCs w:val="20"/>
              </w:rPr>
            </w:pPr>
          </w:p>
        </w:tc>
      </w:tr>
      <w:tr w:rsidR="004E53FD" w:rsidRPr="00056114" w14:paraId="4121F55F" w14:textId="04868744" w:rsidTr="00CA2CD2">
        <w:tc>
          <w:tcPr>
            <w:tcW w:w="1885" w:type="dxa"/>
            <w:shd w:val="clear" w:color="auto" w:fill="F2F2F2" w:themeFill="background1" w:themeFillShade="F2"/>
          </w:tcPr>
          <w:p w14:paraId="57518C8E" w14:textId="68562781" w:rsidR="004E53FD" w:rsidRPr="00056114" w:rsidRDefault="004E53FD" w:rsidP="004E53FD">
            <w:pPr>
              <w:rPr>
                <w:rFonts w:cstheme="minorHAnsi"/>
                <w:sz w:val="20"/>
                <w:szCs w:val="20"/>
              </w:rPr>
            </w:pPr>
            <w:hyperlink r:id="rId36" w:history="1">
              <w:r w:rsidRPr="0094372B">
                <w:rPr>
                  <w:rStyle w:val="Hyperlink"/>
                  <w:rFonts w:cstheme="minorHAnsi"/>
                  <w:sz w:val="20"/>
                  <w:szCs w:val="20"/>
                </w:rPr>
                <w:t>Fellowship Payments and Reimbursements for Students and Non-employee Postdocs/ Fellows</w:t>
              </w:r>
            </w:hyperlink>
          </w:p>
        </w:tc>
        <w:tc>
          <w:tcPr>
            <w:tcW w:w="5940" w:type="dxa"/>
            <w:shd w:val="clear" w:color="auto" w:fill="F2F2F2" w:themeFill="background1" w:themeFillShade="F2"/>
          </w:tcPr>
          <w:p w14:paraId="6E8A0D02" w14:textId="6E9A61A8" w:rsidR="004E53FD" w:rsidRPr="00056114" w:rsidRDefault="004E53FD" w:rsidP="004E53FD">
            <w:pPr>
              <w:pStyle w:val="NoSpacing"/>
              <w:rPr>
                <w:sz w:val="20"/>
                <w:szCs w:val="20"/>
              </w:rPr>
            </w:pPr>
            <w:r w:rsidRPr="339F7475">
              <w:rPr>
                <w:sz w:val="20"/>
                <w:szCs w:val="20"/>
              </w:rPr>
              <w:t xml:space="preserve">At Harvard, we use the term “fellowships” to refer to a host of payments: awards, stipends, grants, and allowances. Fellowships are generally gross income to the recipient unless they are qualified payments for required tuition and fees for a degree program. This policy and </w:t>
            </w:r>
            <w:r w:rsidRPr="00850098">
              <w:rPr>
                <w:sz w:val="20"/>
                <w:szCs w:val="20"/>
              </w:rPr>
              <w:t xml:space="preserve">a </w:t>
            </w:r>
            <w:hyperlink r:id="rId37">
              <w:r w:rsidRPr="00850098">
                <w:rPr>
                  <w:rStyle w:val="Hyperlink"/>
                  <w:color w:val="auto"/>
                  <w:sz w:val="20"/>
                  <w:szCs w:val="20"/>
                </w:rPr>
                <w:t>Fellowships Toolkit</w:t>
              </w:r>
            </w:hyperlink>
            <w:r w:rsidRPr="339F7475">
              <w:rPr>
                <w:sz w:val="20"/>
                <w:szCs w:val="20"/>
              </w:rPr>
              <w:t xml:space="preserve"> can assist in classifying fellowship payments and reimbursements correctly.</w:t>
            </w:r>
          </w:p>
        </w:tc>
        <w:tc>
          <w:tcPr>
            <w:tcW w:w="1800" w:type="dxa"/>
            <w:shd w:val="clear" w:color="auto" w:fill="F2F2F2" w:themeFill="background1" w:themeFillShade="F2"/>
          </w:tcPr>
          <w:p w14:paraId="6D6942A6" w14:textId="305DD126" w:rsidR="004E53FD" w:rsidRPr="339F7475" w:rsidRDefault="004E53FD" w:rsidP="004E53FD">
            <w:pPr>
              <w:pStyle w:val="NoSpacing"/>
              <w:rPr>
                <w:sz w:val="20"/>
                <w:szCs w:val="20"/>
              </w:rPr>
            </w:pPr>
            <w:r>
              <w:rPr>
                <w:sz w:val="20"/>
                <w:szCs w:val="20"/>
                <w:lang w:val="en"/>
              </w:rPr>
              <w:t>N/A</w:t>
            </w:r>
            <w:r w:rsidRPr="00056114">
              <w:rPr>
                <w:sz w:val="20"/>
                <w:szCs w:val="20"/>
                <w:lang w:val="en"/>
              </w:rPr>
              <w:t xml:space="preserve"> </w:t>
            </w:r>
          </w:p>
        </w:tc>
        <w:tc>
          <w:tcPr>
            <w:tcW w:w="1530" w:type="dxa"/>
            <w:shd w:val="clear" w:color="auto" w:fill="F2F2F2" w:themeFill="background1" w:themeFillShade="F2"/>
          </w:tcPr>
          <w:p w14:paraId="5FF11420" w14:textId="77777777" w:rsidR="00AB239E" w:rsidRDefault="00AB239E" w:rsidP="00AB239E">
            <w:pPr>
              <w:pStyle w:val="NoSpacing"/>
              <w:spacing w:after="120"/>
              <w:rPr>
                <w:rFonts w:cstheme="minorHAnsi"/>
                <w:sz w:val="20"/>
                <w:szCs w:val="20"/>
              </w:rPr>
            </w:pPr>
            <w:hyperlink r:id="rId38" w:history="1">
              <w:r w:rsidRPr="005502C6">
                <w:rPr>
                  <w:rStyle w:val="Hyperlink"/>
                  <w:rFonts w:cstheme="minorHAnsi"/>
                  <w:sz w:val="20"/>
                  <w:szCs w:val="20"/>
                </w:rPr>
                <w:t>B2P</w:t>
              </w:r>
            </w:hyperlink>
          </w:p>
          <w:p w14:paraId="76DAA23E" w14:textId="77777777" w:rsidR="00AB239E" w:rsidRDefault="00AB239E" w:rsidP="00AB239E">
            <w:pPr>
              <w:pStyle w:val="NoSpacing"/>
              <w:spacing w:after="120"/>
              <w:rPr>
                <w:rFonts w:cstheme="minorHAnsi"/>
                <w:sz w:val="20"/>
                <w:szCs w:val="20"/>
              </w:rPr>
            </w:pPr>
            <w:hyperlink r:id="rId39" w:history="1">
              <w:r w:rsidRPr="009E1D08">
                <w:rPr>
                  <w:rStyle w:val="Hyperlink"/>
                  <w:rFonts w:cstheme="minorHAnsi"/>
                  <w:sz w:val="20"/>
                  <w:szCs w:val="20"/>
                </w:rPr>
                <w:t>Concur</w:t>
              </w:r>
            </w:hyperlink>
          </w:p>
          <w:p w14:paraId="153817C0" w14:textId="5BD0DDD2" w:rsidR="004E53FD" w:rsidRDefault="004E53FD" w:rsidP="004E53FD">
            <w:pPr>
              <w:pStyle w:val="NoSpacing"/>
              <w:rPr>
                <w:rFonts w:cstheme="minorHAnsi"/>
                <w:sz w:val="20"/>
                <w:szCs w:val="20"/>
              </w:rPr>
            </w:pPr>
          </w:p>
        </w:tc>
        <w:tc>
          <w:tcPr>
            <w:tcW w:w="1710" w:type="dxa"/>
            <w:shd w:val="clear" w:color="auto" w:fill="F2F2F2" w:themeFill="background1" w:themeFillShade="F2"/>
          </w:tcPr>
          <w:p w14:paraId="422BAFB1" w14:textId="1407A0DE" w:rsidR="004E53FD" w:rsidRDefault="004E53FD" w:rsidP="004E53FD">
            <w:pPr>
              <w:pStyle w:val="NoSpacing"/>
              <w:rPr>
                <w:rFonts w:cstheme="minorHAnsi"/>
                <w:sz w:val="20"/>
                <w:szCs w:val="20"/>
              </w:rPr>
            </w:pPr>
            <w:r>
              <w:rPr>
                <w:rFonts w:cstheme="minorHAnsi"/>
                <w:sz w:val="20"/>
                <w:szCs w:val="20"/>
              </w:rPr>
              <w:t>Financial Policy Office</w:t>
            </w:r>
          </w:p>
        </w:tc>
        <w:tc>
          <w:tcPr>
            <w:tcW w:w="1350" w:type="dxa"/>
            <w:shd w:val="clear" w:color="auto" w:fill="F2F2F2" w:themeFill="background1" w:themeFillShade="F2"/>
          </w:tcPr>
          <w:p w14:paraId="57970695" w14:textId="12CF9FA1" w:rsidR="004E53FD" w:rsidRDefault="004E53FD" w:rsidP="004E53FD">
            <w:pPr>
              <w:pStyle w:val="NoSpacing"/>
              <w:rPr>
                <w:rFonts w:cstheme="minorHAnsi"/>
                <w:sz w:val="20"/>
                <w:szCs w:val="20"/>
              </w:rPr>
            </w:pPr>
            <w:r>
              <w:rPr>
                <w:rFonts w:cstheme="minorHAnsi"/>
                <w:sz w:val="20"/>
                <w:szCs w:val="20"/>
              </w:rPr>
              <w:t>B2P</w:t>
            </w:r>
          </w:p>
          <w:p w14:paraId="57E45A18" w14:textId="77777777" w:rsidR="004E53FD" w:rsidRDefault="004E53FD" w:rsidP="004E53FD">
            <w:pPr>
              <w:pStyle w:val="NoSpacing"/>
              <w:rPr>
                <w:rFonts w:cstheme="minorHAnsi"/>
                <w:sz w:val="20"/>
                <w:szCs w:val="20"/>
              </w:rPr>
            </w:pPr>
            <w:r>
              <w:rPr>
                <w:rFonts w:cstheme="minorHAnsi"/>
                <w:sz w:val="20"/>
                <w:szCs w:val="20"/>
              </w:rPr>
              <w:t>Concur</w:t>
            </w:r>
          </w:p>
          <w:p w14:paraId="6E612DFF" w14:textId="77777777" w:rsidR="004E53FD" w:rsidRPr="00056114" w:rsidRDefault="004E53FD" w:rsidP="004E53FD">
            <w:pPr>
              <w:rPr>
                <w:rFonts w:cstheme="minorHAnsi"/>
                <w:b/>
                <w:sz w:val="20"/>
                <w:szCs w:val="20"/>
              </w:rPr>
            </w:pPr>
            <w:r w:rsidRPr="00056114">
              <w:rPr>
                <w:rFonts w:cstheme="minorHAnsi"/>
                <w:sz w:val="20"/>
                <w:szCs w:val="20"/>
              </w:rPr>
              <w:t>Oracle</w:t>
            </w:r>
          </w:p>
          <w:p w14:paraId="37FFF70C" w14:textId="1CE0BD05" w:rsidR="004E53FD" w:rsidRPr="339F7475" w:rsidRDefault="004E53FD" w:rsidP="004E53FD">
            <w:pPr>
              <w:pStyle w:val="NoSpacing"/>
              <w:rPr>
                <w:sz w:val="20"/>
                <w:szCs w:val="20"/>
              </w:rPr>
            </w:pPr>
            <w:r>
              <w:rPr>
                <w:sz w:val="20"/>
                <w:szCs w:val="20"/>
              </w:rPr>
              <w:t>PeopleSoft</w:t>
            </w:r>
          </w:p>
        </w:tc>
      </w:tr>
      <w:tr w:rsidR="004E53FD" w:rsidRPr="00056114" w14:paraId="27A15CAF" w14:textId="063FBCF1" w:rsidTr="00B50AAC">
        <w:trPr>
          <w:cnfStyle w:val="000000010000" w:firstRow="0" w:lastRow="0" w:firstColumn="0" w:lastColumn="0" w:oddVBand="0" w:evenVBand="0" w:oddHBand="0" w:evenHBand="1" w:firstRowFirstColumn="0" w:firstRowLastColumn="0" w:lastRowFirstColumn="0" w:lastRowLastColumn="0"/>
        </w:trPr>
        <w:tc>
          <w:tcPr>
            <w:tcW w:w="1885" w:type="dxa"/>
          </w:tcPr>
          <w:p w14:paraId="294A25F8" w14:textId="01FF2C9F" w:rsidR="004E53FD" w:rsidRPr="00056114" w:rsidRDefault="004E53FD" w:rsidP="004E53FD">
            <w:pPr>
              <w:rPr>
                <w:rFonts w:cstheme="minorHAnsi"/>
                <w:sz w:val="20"/>
                <w:szCs w:val="20"/>
              </w:rPr>
            </w:pPr>
            <w:hyperlink r:id="rId40" w:history="1">
              <w:r w:rsidRPr="00C61E78">
                <w:rPr>
                  <w:rStyle w:val="Hyperlink"/>
                  <w:rFonts w:cstheme="minorHAnsi"/>
                  <w:sz w:val="20"/>
                  <w:szCs w:val="20"/>
                </w:rPr>
                <w:t>Financial Management of Property, Plant and Equipment</w:t>
              </w:r>
            </w:hyperlink>
          </w:p>
        </w:tc>
        <w:tc>
          <w:tcPr>
            <w:tcW w:w="5940" w:type="dxa"/>
          </w:tcPr>
          <w:p w14:paraId="28A58352" w14:textId="77777777" w:rsidR="004E53FD" w:rsidRDefault="004E53FD" w:rsidP="004E53FD">
            <w:pPr>
              <w:pStyle w:val="NoSpacing"/>
              <w:rPr>
                <w:rFonts w:cstheme="minorHAnsi"/>
                <w:sz w:val="20"/>
                <w:szCs w:val="20"/>
              </w:rPr>
            </w:pPr>
            <w:r w:rsidRPr="00056114">
              <w:rPr>
                <w:rFonts w:cstheme="minorHAnsi"/>
                <w:sz w:val="20"/>
                <w:szCs w:val="20"/>
              </w:rPr>
              <w:t>This policy establishes the proper methods to account for facilities and equipment, including capitalization, depreciation, disposals and impairments, and various funding sources.</w:t>
            </w:r>
          </w:p>
          <w:p w14:paraId="074EA239" w14:textId="77777777" w:rsidR="00C51FA5" w:rsidRDefault="00C51FA5" w:rsidP="004E53FD">
            <w:pPr>
              <w:pStyle w:val="NoSpacing"/>
              <w:rPr>
                <w:rFonts w:cstheme="minorHAnsi"/>
                <w:sz w:val="20"/>
                <w:szCs w:val="20"/>
              </w:rPr>
            </w:pPr>
          </w:p>
          <w:p w14:paraId="1C9F558A" w14:textId="3180111F" w:rsidR="00C51FA5" w:rsidRPr="00056114" w:rsidRDefault="00C51FA5" w:rsidP="004E53FD">
            <w:pPr>
              <w:pStyle w:val="NoSpacing"/>
              <w:rPr>
                <w:rFonts w:cstheme="minorHAnsi"/>
                <w:sz w:val="20"/>
                <w:szCs w:val="20"/>
              </w:rPr>
            </w:pPr>
          </w:p>
        </w:tc>
        <w:tc>
          <w:tcPr>
            <w:tcW w:w="1800" w:type="dxa"/>
          </w:tcPr>
          <w:p w14:paraId="666EB9AB" w14:textId="6FE90BDD" w:rsidR="004E53FD" w:rsidRDefault="004E53FD" w:rsidP="004E53FD">
            <w:pPr>
              <w:pStyle w:val="NoSpacing"/>
              <w:rPr>
                <w:rFonts w:cstheme="minorHAnsi"/>
                <w:sz w:val="20"/>
                <w:szCs w:val="20"/>
              </w:rPr>
            </w:pPr>
            <w:hyperlink r:id="rId41" w:history="1">
              <w:r w:rsidRPr="00920AC8">
                <w:rPr>
                  <w:rStyle w:val="Hyperlink"/>
                  <w:rFonts w:cstheme="minorHAnsi"/>
                  <w:sz w:val="20"/>
                  <w:szCs w:val="20"/>
                </w:rPr>
                <w:t>Debt Management</w:t>
              </w:r>
            </w:hyperlink>
          </w:p>
          <w:p w14:paraId="6D56F53C" w14:textId="77777777" w:rsidR="004E53FD" w:rsidRDefault="004E53FD" w:rsidP="004E53FD">
            <w:pPr>
              <w:pStyle w:val="NoSpacing"/>
              <w:rPr>
                <w:rFonts w:cstheme="minorHAnsi"/>
                <w:sz w:val="20"/>
                <w:szCs w:val="20"/>
              </w:rPr>
            </w:pPr>
          </w:p>
          <w:p w14:paraId="7A2B6BB4" w14:textId="66B75043" w:rsidR="004E53FD" w:rsidRPr="00056114" w:rsidRDefault="004E53FD" w:rsidP="004E53FD">
            <w:pPr>
              <w:pStyle w:val="NoSpacing"/>
              <w:rPr>
                <w:rFonts w:cstheme="minorHAnsi"/>
                <w:sz w:val="20"/>
                <w:szCs w:val="20"/>
              </w:rPr>
            </w:pPr>
            <w:hyperlink r:id="rId42" w:history="1">
              <w:r w:rsidRPr="002D3B67">
                <w:rPr>
                  <w:rStyle w:val="Hyperlink"/>
                  <w:rFonts w:cstheme="minorHAnsi"/>
                  <w:sz w:val="20"/>
                  <w:szCs w:val="20"/>
                </w:rPr>
                <w:t>Property, Plant, and Equipment</w:t>
              </w:r>
            </w:hyperlink>
          </w:p>
        </w:tc>
        <w:tc>
          <w:tcPr>
            <w:tcW w:w="1530" w:type="dxa"/>
          </w:tcPr>
          <w:p w14:paraId="0AD4B39C" w14:textId="77777777" w:rsidR="004E53FD" w:rsidRDefault="004E53FD" w:rsidP="00C4501E">
            <w:pPr>
              <w:pStyle w:val="NoSpacing"/>
              <w:spacing w:after="120"/>
              <w:rPr>
                <w:rFonts w:cstheme="minorHAnsi"/>
                <w:sz w:val="20"/>
                <w:szCs w:val="20"/>
              </w:rPr>
            </w:pPr>
            <w:hyperlink r:id="rId43" w:history="1">
              <w:r w:rsidRPr="005502C6">
                <w:rPr>
                  <w:rStyle w:val="Hyperlink"/>
                  <w:rFonts w:cstheme="minorHAnsi"/>
                  <w:sz w:val="20"/>
                  <w:szCs w:val="20"/>
                </w:rPr>
                <w:t>B2P</w:t>
              </w:r>
            </w:hyperlink>
          </w:p>
          <w:p w14:paraId="1A17767D" w14:textId="4AF63BB3" w:rsidR="004E53FD" w:rsidRDefault="004E53FD" w:rsidP="00C4501E">
            <w:pPr>
              <w:pStyle w:val="NoSpacing"/>
              <w:spacing w:after="120"/>
              <w:rPr>
                <w:rFonts w:cstheme="minorHAnsi"/>
                <w:sz w:val="20"/>
                <w:szCs w:val="20"/>
              </w:rPr>
            </w:pPr>
            <w:hyperlink r:id="rId44" w:history="1">
              <w:r w:rsidRPr="00291D32">
                <w:rPr>
                  <w:rStyle w:val="Hyperlink"/>
                  <w:rFonts w:cstheme="minorHAnsi"/>
                  <w:sz w:val="20"/>
                  <w:szCs w:val="20"/>
                </w:rPr>
                <w:t>Fixed Assets</w:t>
              </w:r>
            </w:hyperlink>
          </w:p>
        </w:tc>
        <w:tc>
          <w:tcPr>
            <w:tcW w:w="1710" w:type="dxa"/>
          </w:tcPr>
          <w:p w14:paraId="3D5D8F1F" w14:textId="19CAE98E" w:rsidR="004E53FD" w:rsidRDefault="004E53FD" w:rsidP="004E53FD">
            <w:pPr>
              <w:pStyle w:val="NoSpacing"/>
              <w:rPr>
                <w:rFonts w:cstheme="minorHAnsi"/>
                <w:sz w:val="20"/>
                <w:szCs w:val="20"/>
              </w:rPr>
            </w:pPr>
            <w:r>
              <w:rPr>
                <w:rFonts w:cstheme="minorHAnsi"/>
                <w:sz w:val="20"/>
                <w:szCs w:val="20"/>
              </w:rPr>
              <w:t>Financial Accounting and Reporting</w:t>
            </w:r>
          </w:p>
        </w:tc>
        <w:tc>
          <w:tcPr>
            <w:tcW w:w="1350" w:type="dxa"/>
          </w:tcPr>
          <w:p w14:paraId="0CAAB126" w14:textId="70EC8956" w:rsidR="004E53FD" w:rsidRDefault="004E53FD" w:rsidP="004E53FD">
            <w:pPr>
              <w:pStyle w:val="NoSpacing"/>
              <w:rPr>
                <w:rFonts w:cstheme="minorHAnsi"/>
                <w:sz w:val="20"/>
                <w:szCs w:val="20"/>
              </w:rPr>
            </w:pPr>
            <w:r>
              <w:rPr>
                <w:rFonts w:cstheme="minorHAnsi"/>
                <w:sz w:val="20"/>
                <w:szCs w:val="20"/>
              </w:rPr>
              <w:t>B2P</w:t>
            </w:r>
          </w:p>
          <w:p w14:paraId="0B5ABD86" w14:textId="77777777" w:rsidR="004E53FD" w:rsidRPr="00056114" w:rsidRDefault="004E53FD" w:rsidP="004E53FD">
            <w:pPr>
              <w:rPr>
                <w:rFonts w:cstheme="minorHAnsi"/>
                <w:b/>
                <w:sz w:val="20"/>
                <w:szCs w:val="20"/>
              </w:rPr>
            </w:pPr>
            <w:r w:rsidRPr="00056114">
              <w:rPr>
                <w:rFonts w:cstheme="minorHAnsi"/>
                <w:sz w:val="20"/>
                <w:szCs w:val="20"/>
              </w:rPr>
              <w:t>Oracle</w:t>
            </w:r>
          </w:p>
          <w:p w14:paraId="56402ABD" w14:textId="77777777" w:rsidR="004E53FD" w:rsidRPr="00056114" w:rsidRDefault="004E53FD" w:rsidP="004E53FD">
            <w:pPr>
              <w:pStyle w:val="NoSpacing"/>
              <w:rPr>
                <w:rFonts w:cstheme="minorHAnsi"/>
                <w:sz w:val="20"/>
                <w:szCs w:val="20"/>
              </w:rPr>
            </w:pPr>
          </w:p>
        </w:tc>
      </w:tr>
      <w:tr w:rsidR="004E53FD" w:rsidRPr="00056114" w14:paraId="20F01857" w14:textId="386D99D8" w:rsidTr="00CA2CD2">
        <w:tc>
          <w:tcPr>
            <w:tcW w:w="1885" w:type="dxa"/>
            <w:shd w:val="clear" w:color="auto" w:fill="F2F2F2" w:themeFill="background1" w:themeFillShade="F2"/>
          </w:tcPr>
          <w:p w14:paraId="746D7F56" w14:textId="51EEB35A" w:rsidR="004E53FD" w:rsidRPr="00056114" w:rsidRDefault="004E53FD" w:rsidP="004E53FD">
            <w:pPr>
              <w:rPr>
                <w:rFonts w:cstheme="minorHAnsi"/>
                <w:sz w:val="20"/>
                <w:szCs w:val="20"/>
              </w:rPr>
            </w:pPr>
            <w:hyperlink r:id="rId45" w:history="1">
              <w:r w:rsidRPr="008B7125">
                <w:rPr>
                  <w:rStyle w:val="Hyperlink"/>
                  <w:rFonts w:cstheme="minorHAnsi"/>
                  <w:sz w:val="20"/>
                  <w:szCs w:val="20"/>
                </w:rPr>
                <w:t>Financial Systems Access</w:t>
              </w:r>
            </w:hyperlink>
          </w:p>
        </w:tc>
        <w:tc>
          <w:tcPr>
            <w:tcW w:w="5940" w:type="dxa"/>
            <w:shd w:val="clear" w:color="auto" w:fill="F2F2F2" w:themeFill="background1" w:themeFillShade="F2"/>
          </w:tcPr>
          <w:p w14:paraId="7699E654" w14:textId="77777777" w:rsidR="004E53FD" w:rsidRDefault="004E53FD" w:rsidP="004E53FD">
            <w:pPr>
              <w:pStyle w:val="NoSpacing"/>
              <w:rPr>
                <w:rFonts w:eastAsia="Times New Roman" w:cstheme="minorHAnsi"/>
                <w:sz w:val="20"/>
                <w:szCs w:val="20"/>
              </w:rPr>
            </w:pPr>
            <w:r w:rsidRPr="00056114">
              <w:rPr>
                <w:rFonts w:eastAsia="Times New Roman" w:cstheme="minorHAnsi"/>
                <w:sz w:val="20"/>
                <w:szCs w:val="20"/>
              </w:rPr>
              <w:t>This policy establishes under what circumstances individuals can access University-wide financial systems. Access to Harvard’s financial systems will be granted only where there are valid business reasons.</w:t>
            </w:r>
          </w:p>
          <w:p w14:paraId="4AAE6F49" w14:textId="138C5F52" w:rsidR="00E31F2F" w:rsidRPr="00056114" w:rsidRDefault="00E31F2F" w:rsidP="004E53FD">
            <w:pPr>
              <w:pStyle w:val="NoSpacing"/>
              <w:rPr>
                <w:rFonts w:eastAsia="Times New Roman" w:cstheme="minorHAnsi"/>
                <w:sz w:val="20"/>
                <w:szCs w:val="20"/>
              </w:rPr>
            </w:pPr>
          </w:p>
        </w:tc>
        <w:tc>
          <w:tcPr>
            <w:tcW w:w="1800" w:type="dxa"/>
            <w:shd w:val="clear" w:color="auto" w:fill="F2F2F2" w:themeFill="background1" w:themeFillShade="F2"/>
          </w:tcPr>
          <w:p w14:paraId="04B2360E" w14:textId="1B800447" w:rsidR="004E53FD" w:rsidRPr="00056114" w:rsidRDefault="004E53FD" w:rsidP="004E53FD">
            <w:pPr>
              <w:pStyle w:val="NoSpacing"/>
              <w:rPr>
                <w:rFonts w:eastAsia="Times New Roman" w:cstheme="minorHAnsi"/>
                <w:sz w:val="20"/>
                <w:szCs w:val="20"/>
              </w:rPr>
            </w:pPr>
            <w:r>
              <w:rPr>
                <w:sz w:val="20"/>
                <w:szCs w:val="20"/>
                <w:lang w:val="en"/>
              </w:rPr>
              <w:t>N/A</w:t>
            </w:r>
            <w:r w:rsidRPr="00056114">
              <w:rPr>
                <w:sz w:val="20"/>
                <w:szCs w:val="20"/>
                <w:lang w:val="en"/>
              </w:rPr>
              <w:t xml:space="preserve"> </w:t>
            </w:r>
          </w:p>
        </w:tc>
        <w:tc>
          <w:tcPr>
            <w:tcW w:w="1530" w:type="dxa"/>
            <w:shd w:val="clear" w:color="auto" w:fill="F2F2F2" w:themeFill="background1" w:themeFillShade="F2"/>
          </w:tcPr>
          <w:p w14:paraId="4F7ED9C9" w14:textId="2346DB90" w:rsidR="004E53FD" w:rsidRDefault="004E53FD" w:rsidP="00C4501E">
            <w:pPr>
              <w:pStyle w:val="NoSpacing"/>
              <w:spacing w:after="120"/>
              <w:rPr>
                <w:rFonts w:eastAsia="Times New Roman" w:cstheme="minorHAnsi"/>
                <w:sz w:val="20"/>
                <w:szCs w:val="20"/>
              </w:rPr>
            </w:pPr>
            <w:hyperlink r:id="rId46" w:history="1">
              <w:r w:rsidRPr="007A68EE">
                <w:rPr>
                  <w:rStyle w:val="Hyperlink"/>
                  <w:rFonts w:eastAsia="Times New Roman" w:cstheme="minorHAnsi"/>
                  <w:sz w:val="20"/>
                  <w:szCs w:val="20"/>
                </w:rPr>
                <w:t>Competency Track</w:t>
              </w:r>
            </w:hyperlink>
          </w:p>
        </w:tc>
        <w:tc>
          <w:tcPr>
            <w:tcW w:w="1710" w:type="dxa"/>
            <w:shd w:val="clear" w:color="auto" w:fill="F2F2F2" w:themeFill="background1" w:themeFillShade="F2"/>
          </w:tcPr>
          <w:p w14:paraId="22C0A754" w14:textId="726C2107" w:rsidR="004E53FD" w:rsidRDefault="004E53FD" w:rsidP="004E53FD">
            <w:pPr>
              <w:pStyle w:val="NoSpacing"/>
              <w:rPr>
                <w:rFonts w:eastAsia="Times New Roman" w:cstheme="minorHAnsi"/>
                <w:sz w:val="20"/>
                <w:szCs w:val="20"/>
              </w:rPr>
            </w:pPr>
            <w:r>
              <w:rPr>
                <w:rFonts w:eastAsia="Times New Roman" w:cstheme="minorHAnsi"/>
                <w:sz w:val="20"/>
                <w:szCs w:val="20"/>
              </w:rPr>
              <w:t>Office of the Controller</w:t>
            </w:r>
          </w:p>
        </w:tc>
        <w:tc>
          <w:tcPr>
            <w:tcW w:w="1350" w:type="dxa"/>
            <w:shd w:val="clear" w:color="auto" w:fill="F2F2F2" w:themeFill="background1" w:themeFillShade="F2"/>
          </w:tcPr>
          <w:p w14:paraId="5FB3C6F1" w14:textId="76151B2E" w:rsidR="004E53FD" w:rsidRPr="00056114" w:rsidRDefault="004E53FD" w:rsidP="004E53FD">
            <w:pPr>
              <w:pStyle w:val="NoSpacing"/>
              <w:rPr>
                <w:rFonts w:eastAsia="Times New Roman" w:cstheme="minorHAnsi"/>
                <w:sz w:val="20"/>
                <w:szCs w:val="20"/>
              </w:rPr>
            </w:pPr>
            <w:r>
              <w:rPr>
                <w:rFonts w:eastAsia="Times New Roman" w:cstheme="minorHAnsi"/>
                <w:sz w:val="20"/>
                <w:szCs w:val="20"/>
              </w:rPr>
              <w:t>All</w:t>
            </w:r>
          </w:p>
        </w:tc>
      </w:tr>
      <w:tr w:rsidR="004E53FD" w:rsidRPr="00056114" w14:paraId="5D93ED15" w14:textId="3F4D5158" w:rsidTr="00B50AAC">
        <w:trPr>
          <w:cnfStyle w:val="000000010000" w:firstRow="0" w:lastRow="0" w:firstColumn="0" w:lastColumn="0" w:oddVBand="0" w:evenVBand="0" w:oddHBand="0" w:evenHBand="1" w:firstRowFirstColumn="0" w:firstRowLastColumn="0" w:lastRowFirstColumn="0" w:lastRowLastColumn="0"/>
        </w:trPr>
        <w:tc>
          <w:tcPr>
            <w:tcW w:w="1885" w:type="dxa"/>
          </w:tcPr>
          <w:p w14:paraId="7C37BB9A" w14:textId="6BC5AA0C" w:rsidR="004E53FD" w:rsidRPr="00056114" w:rsidRDefault="004E53FD" w:rsidP="004E53FD">
            <w:pPr>
              <w:rPr>
                <w:rFonts w:cstheme="minorHAnsi"/>
                <w:sz w:val="20"/>
                <w:szCs w:val="20"/>
              </w:rPr>
            </w:pPr>
            <w:hyperlink r:id="rId47" w:history="1">
              <w:r w:rsidRPr="00B96A98">
                <w:rPr>
                  <w:rStyle w:val="Hyperlink"/>
                  <w:rFonts w:cstheme="minorHAnsi"/>
                  <w:sz w:val="20"/>
                  <w:szCs w:val="20"/>
                </w:rPr>
                <w:t>Fraud Awareness and Reporting</w:t>
              </w:r>
            </w:hyperlink>
          </w:p>
          <w:p w14:paraId="6232F09D" w14:textId="77777777" w:rsidR="004E53FD" w:rsidRPr="00056114" w:rsidRDefault="004E53FD" w:rsidP="004E53FD">
            <w:pPr>
              <w:rPr>
                <w:rFonts w:cstheme="minorHAnsi"/>
                <w:sz w:val="20"/>
                <w:szCs w:val="20"/>
              </w:rPr>
            </w:pPr>
          </w:p>
          <w:p w14:paraId="35E28CC2" w14:textId="1C1ACDF6" w:rsidR="004E53FD" w:rsidRPr="00056114" w:rsidRDefault="004E53FD" w:rsidP="004E53FD">
            <w:pPr>
              <w:rPr>
                <w:rFonts w:cstheme="minorHAnsi"/>
                <w:sz w:val="20"/>
                <w:szCs w:val="20"/>
              </w:rPr>
            </w:pPr>
          </w:p>
        </w:tc>
        <w:tc>
          <w:tcPr>
            <w:tcW w:w="5940" w:type="dxa"/>
          </w:tcPr>
          <w:p w14:paraId="15788E52" w14:textId="77777777" w:rsidR="004E53FD" w:rsidRDefault="004E53FD" w:rsidP="004E53FD">
            <w:pPr>
              <w:pStyle w:val="NoSpacing"/>
              <w:rPr>
                <w:rFonts w:cstheme="minorHAnsi"/>
                <w:sz w:val="20"/>
                <w:szCs w:val="20"/>
              </w:rPr>
            </w:pPr>
            <w:r w:rsidRPr="00056114">
              <w:rPr>
                <w:rFonts w:cstheme="minorHAnsi"/>
                <w:sz w:val="20"/>
                <w:szCs w:val="20"/>
              </w:rPr>
              <w:t>This policy establishes the overall roles and responsibilities of University employees for reporting and investigating potential fraud at the University. All Harvard employees have a responsibility to ensure that Harvard’s resources are used for valid and appropriate business needs. Administrators and all levels of management have added responsibility for establishing and maintaining proper internal controls to protect Harvard’s resources from misuse.</w:t>
            </w:r>
          </w:p>
          <w:p w14:paraId="37A8B0D0" w14:textId="4BBDB8B1" w:rsidR="00E31F2F" w:rsidRPr="00056114" w:rsidRDefault="00E31F2F" w:rsidP="004E53FD">
            <w:pPr>
              <w:pStyle w:val="NoSpacing"/>
              <w:rPr>
                <w:rFonts w:cstheme="minorHAnsi"/>
                <w:sz w:val="20"/>
                <w:szCs w:val="20"/>
              </w:rPr>
            </w:pPr>
          </w:p>
        </w:tc>
        <w:tc>
          <w:tcPr>
            <w:tcW w:w="1800" w:type="dxa"/>
          </w:tcPr>
          <w:p w14:paraId="2CBB455D" w14:textId="77777777" w:rsidR="004E53FD" w:rsidRDefault="004E53FD" w:rsidP="004E53FD">
            <w:pPr>
              <w:pStyle w:val="NoSpacing"/>
              <w:rPr>
                <w:rFonts w:cstheme="minorHAnsi"/>
                <w:sz w:val="20"/>
                <w:szCs w:val="20"/>
              </w:rPr>
            </w:pPr>
            <w:r>
              <w:rPr>
                <w:rFonts w:cstheme="minorHAnsi"/>
                <w:sz w:val="20"/>
                <w:szCs w:val="20"/>
              </w:rPr>
              <w:t>N/A</w:t>
            </w:r>
          </w:p>
          <w:p w14:paraId="14F11FDD" w14:textId="77777777" w:rsidR="004E53FD" w:rsidRPr="00056114" w:rsidRDefault="004E53FD" w:rsidP="004E53FD">
            <w:pPr>
              <w:pStyle w:val="NoSpacing"/>
              <w:rPr>
                <w:rFonts w:cstheme="minorHAnsi"/>
                <w:sz w:val="20"/>
                <w:szCs w:val="20"/>
              </w:rPr>
            </w:pPr>
          </w:p>
        </w:tc>
        <w:tc>
          <w:tcPr>
            <w:tcW w:w="1530" w:type="dxa"/>
          </w:tcPr>
          <w:p w14:paraId="09E54A3F" w14:textId="1AD834DD" w:rsidR="004E53FD" w:rsidRDefault="004E53FD" w:rsidP="004E53FD">
            <w:pPr>
              <w:pStyle w:val="NoSpacing"/>
              <w:rPr>
                <w:rFonts w:cstheme="minorHAnsi"/>
                <w:sz w:val="20"/>
                <w:szCs w:val="20"/>
              </w:rPr>
            </w:pPr>
            <w:hyperlink r:id="rId48" w:history="1">
              <w:r w:rsidRPr="007A68EE">
                <w:rPr>
                  <w:rStyle w:val="Hyperlink"/>
                  <w:rFonts w:eastAsia="Times New Roman" w:cstheme="minorHAnsi"/>
                  <w:sz w:val="20"/>
                  <w:szCs w:val="20"/>
                </w:rPr>
                <w:t>Competency Track</w:t>
              </w:r>
            </w:hyperlink>
          </w:p>
        </w:tc>
        <w:tc>
          <w:tcPr>
            <w:tcW w:w="1710" w:type="dxa"/>
          </w:tcPr>
          <w:p w14:paraId="140950F4" w14:textId="668E637A" w:rsidR="004E53FD" w:rsidRDefault="004E53FD" w:rsidP="004E53FD">
            <w:pPr>
              <w:pStyle w:val="NoSpacing"/>
              <w:rPr>
                <w:rFonts w:cstheme="minorHAnsi"/>
                <w:sz w:val="20"/>
                <w:szCs w:val="20"/>
              </w:rPr>
            </w:pPr>
            <w:r>
              <w:rPr>
                <w:rFonts w:eastAsia="Times New Roman" w:cstheme="minorHAnsi"/>
                <w:sz w:val="20"/>
                <w:szCs w:val="20"/>
              </w:rPr>
              <w:t>Office of the Controller</w:t>
            </w:r>
          </w:p>
        </w:tc>
        <w:tc>
          <w:tcPr>
            <w:tcW w:w="1350" w:type="dxa"/>
          </w:tcPr>
          <w:p w14:paraId="14366115" w14:textId="168F5700" w:rsidR="004E53FD" w:rsidRPr="00056114" w:rsidRDefault="004E53FD" w:rsidP="004E53FD">
            <w:pPr>
              <w:pStyle w:val="NoSpacing"/>
              <w:rPr>
                <w:rFonts w:cstheme="minorHAnsi"/>
                <w:sz w:val="20"/>
                <w:szCs w:val="20"/>
              </w:rPr>
            </w:pPr>
            <w:r>
              <w:rPr>
                <w:rFonts w:cstheme="minorHAnsi"/>
                <w:sz w:val="20"/>
                <w:szCs w:val="20"/>
              </w:rPr>
              <w:t>All</w:t>
            </w:r>
          </w:p>
        </w:tc>
      </w:tr>
      <w:tr w:rsidR="004E53FD" w:rsidRPr="00056114" w14:paraId="3FA5807C" w14:textId="77777777" w:rsidTr="00CA2CD2">
        <w:tc>
          <w:tcPr>
            <w:tcW w:w="1885" w:type="dxa"/>
            <w:shd w:val="clear" w:color="auto" w:fill="F2F2F2" w:themeFill="background1" w:themeFillShade="F2"/>
          </w:tcPr>
          <w:p w14:paraId="72D71A55" w14:textId="77777777" w:rsidR="004E53FD" w:rsidRPr="00056114" w:rsidRDefault="004E53FD" w:rsidP="004E53FD">
            <w:pPr>
              <w:rPr>
                <w:rFonts w:cstheme="minorHAnsi"/>
                <w:sz w:val="20"/>
                <w:szCs w:val="20"/>
              </w:rPr>
            </w:pPr>
            <w:hyperlink r:id="rId49" w:history="1">
              <w:r w:rsidRPr="002E75F0">
                <w:rPr>
                  <w:rStyle w:val="Hyperlink"/>
                  <w:rFonts w:cstheme="minorHAnsi"/>
                  <w:sz w:val="20"/>
                  <w:szCs w:val="20"/>
                </w:rPr>
                <w:t>Gifts and Celebratory Events for Employee and Nonemployee</w:t>
              </w:r>
            </w:hyperlink>
          </w:p>
          <w:p w14:paraId="411A18C1" w14:textId="77777777" w:rsidR="004E53FD" w:rsidRDefault="004E53FD" w:rsidP="004E53FD">
            <w:pPr>
              <w:rPr>
                <w:rFonts w:cstheme="minorHAnsi"/>
                <w:sz w:val="20"/>
                <w:szCs w:val="20"/>
              </w:rPr>
            </w:pPr>
          </w:p>
          <w:p w14:paraId="621B6F74" w14:textId="0E0277B9" w:rsidR="004E53FD" w:rsidRDefault="004E53FD" w:rsidP="004E53FD"/>
        </w:tc>
        <w:tc>
          <w:tcPr>
            <w:tcW w:w="5940" w:type="dxa"/>
            <w:shd w:val="clear" w:color="auto" w:fill="F2F2F2" w:themeFill="background1" w:themeFillShade="F2"/>
          </w:tcPr>
          <w:p w14:paraId="78757B04" w14:textId="77777777" w:rsidR="004E53FD" w:rsidRDefault="004E53FD" w:rsidP="004E53FD">
            <w:pPr>
              <w:pStyle w:val="NoSpacing"/>
              <w:rPr>
                <w:rFonts w:cstheme="minorHAnsi"/>
                <w:sz w:val="20"/>
                <w:szCs w:val="20"/>
              </w:rPr>
            </w:pPr>
            <w:r w:rsidRPr="00056114">
              <w:rPr>
                <w:rFonts w:cstheme="minorHAnsi"/>
                <w:sz w:val="20"/>
                <w:szCs w:val="20"/>
              </w:rPr>
              <w:t xml:space="preserve">Harvard units may occasionally spend modest amounts from appropriate funding sources to recognize employees and nonemployees under certain circumstances. This policy establishes allowable employee recognition as celebratory events or gifts for the following occasions: work-related achievement; employee morale-building events; and sympathy upon the death or serious illness of an employee or employee’s immediate family member. Allowable nonemployee recognition must be for a legitimate Harvard business purpose and motivated by detached or disinterested generosity or </w:t>
            </w:r>
            <w:r w:rsidRPr="00056114">
              <w:rPr>
                <w:rFonts w:cstheme="minorHAnsi"/>
                <w:sz w:val="20"/>
                <w:szCs w:val="20"/>
              </w:rPr>
              <w:lastRenderedPageBreak/>
              <w:t>respect. Gifts to non-employees may not be given in lieu of payment for services.</w:t>
            </w:r>
          </w:p>
          <w:p w14:paraId="518FAD53" w14:textId="1B6A3F51" w:rsidR="00E31F2F" w:rsidRPr="00056114" w:rsidRDefault="00E31F2F" w:rsidP="004E53FD">
            <w:pPr>
              <w:pStyle w:val="NoSpacing"/>
              <w:rPr>
                <w:rFonts w:cstheme="minorHAnsi"/>
                <w:sz w:val="20"/>
                <w:szCs w:val="20"/>
              </w:rPr>
            </w:pPr>
          </w:p>
        </w:tc>
        <w:tc>
          <w:tcPr>
            <w:tcW w:w="1800" w:type="dxa"/>
            <w:shd w:val="clear" w:color="auto" w:fill="F2F2F2" w:themeFill="background1" w:themeFillShade="F2"/>
          </w:tcPr>
          <w:p w14:paraId="0FF9307B" w14:textId="1973C6B1" w:rsidR="004E53FD" w:rsidRPr="00056114" w:rsidRDefault="004E53FD" w:rsidP="004E53FD">
            <w:pPr>
              <w:pStyle w:val="NoSpacing"/>
              <w:rPr>
                <w:rFonts w:cstheme="minorHAnsi"/>
                <w:sz w:val="20"/>
                <w:szCs w:val="20"/>
              </w:rPr>
            </w:pPr>
            <w:r>
              <w:rPr>
                <w:sz w:val="20"/>
                <w:szCs w:val="20"/>
                <w:lang w:val="en"/>
              </w:rPr>
              <w:lastRenderedPageBreak/>
              <w:t>N/A</w:t>
            </w:r>
            <w:r w:rsidRPr="00056114">
              <w:rPr>
                <w:sz w:val="20"/>
                <w:szCs w:val="20"/>
                <w:lang w:val="en"/>
              </w:rPr>
              <w:t xml:space="preserve"> </w:t>
            </w:r>
          </w:p>
        </w:tc>
        <w:tc>
          <w:tcPr>
            <w:tcW w:w="1530" w:type="dxa"/>
            <w:shd w:val="clear" w:color="auto" w:fill="F2F2F2" w:themeFill="background1" w:themeFillShade="F2"/>
          </w:tcPr>
          <w:p w14:paraId="3BA112C8" w14:textId="77777777" w:rsidR="00AB239E" w:rsidRDefault="00AB239E" w:rsidP="00AB239E">
            <w:pPr>
              <w:pStyle w:val="NoSpacing"/>
              <w:spacing w:after="120"/>
              <w:rPr>
                <w:rFonts w:cstheme="minorHAnsi"/>
                <w:sz w:val="20"/>
                <w:szCs w:val="20"/>
              </w:rPr>
            </w:pPr>
            <w:hyperlink r:id="rId50" w:history="1">
              <w:r w:rsidRPr="005502C6">
                <w:rPr>
                  <w:rStyle w:val="Hyperlink"/>
                  <w:rFonts w:cstheme="minorHAnsi"/>
                  <w:sz w:val="20"/>
                  <w:szCs w:val="20"/>
                </w:rPr>
                <w:t>B2P</w:t>
              </w:r>
            </w:hyperlink>
          </w:p>
          <w:p w14:paraId="13713321" w14:textId="77777777" w:rsidR="00AB239E" w:rsidRDefault="00AB239E" w:rsidP="00AB239E">
            <w:pPr>
              <w:pStyle w:val="NoSpacing"/>
              <w:spacing w:after="120"/>
              <w:rPr>
                <w:rFonts w:cstheme="minorHAnsi"/>
                <w:sz w:val="20"/>
                <w:szCs w:val="20"/>
              </w:rPr>
            </w:pPr>
            <w:hyperlink r:id="rId51" w:history="1">
              <w:r w:rsidRPr="009E1D08">
                <w:rPr>
                  <w:rStyle w:val="Hyperlink"/>
                  <w:rFonts w:cstheme="minorHAnsi"/>
                  <w:sz w:val="20"/>
                  <w:szCs w:val="20"/>
                </w:rPr>
                <w:t>Concur</w:t>
              </w:r>
            </w:hyperlink>
          </w:p>
          <w:p w14:paraId="65C5A4AA" w14:textId="0C7584B8" w:rsidR="004E53FD" w:rsidRDefault="004E53FD" w:rsidP="004E53FD">
            <w:pPr>
              <w:pStyle w:val="NoSpacing"/>
              <w:rPr>
                <w:rFonts w:cstheme="minorHAnsi"/>
                <w:sz w:val="20"/>
                <w:szCs w:val="20"/>
              </w:rPr>
            </w:pPr>
          </w:p>
        </w:tc>
        <w:tc>
          <w:tcPr>
            <w:tcW w:w="1710" w:type="dxa"/>
            <w:shd w:val="clear" w:color="auto" w:fill="F2F2F2" w:themeFill="background1" w:themeFillShade="F2"/>
          </w:tcPr>
          <w:p w14:paraId="6A4B009F" w14:textId="720CCCA3" w:rsidR="004E53FD" w:rsidRDefault="004E53FD" w:rsidP="004E53FD">
            <w:pPr>
              <w:pStyle w:val="NoSpacing"/>
              <w:rPr>
                <w:rFonts w:cstheme="minorHAnsi"/>
                <w:sz w:val="20"/>
                <w:szCs w:val="20"/>
              </w:rPr>
            </w:pPr>
            <w:r>
              <w:rPr>
                <w:rFonts w:cstheme="minorHAnsi"/>
                <w:sz w:val="20"/>
                <w:szCs w:val="20"/>
              </w:rPr>
              <w:t>Financial Policy Office</w:t>
            </w:r>
          </w:p>
        </w:tc>
        <w:tc>
          <w:tcPr>
            <w:tcW w:w="1350" w:type="dxa"/>
            <w:shd w:val="clear" w:color="auto" w:fill="F2F2F2" w:themeFill="background1" w:themeFillShade="F2"/>
          </w:tcPr>
          <w:p w14:paraId="70138FEF" w14:textId="77777777" w:rsidR="004E53FD" w:rsidRDefault="004E53FD" w:rsidP="004E53FD">
            <w:pPr>
              <w:pStyle w:val="NoSpacing"/>
              <w:rPr>
                <w:rFonts w:cstheme="minorHAnsi"/>
                <w:sz w:val="20"/>
                <w:szCs w:val="20"/>
              </w:rPr>
            </w:pPr>
            <w:r>
              <w:rPr>
                <w:rFonts w:cstheme="minorHAnsi"/>
                <w:sz w:val="20"/>
                <w:szCs w:val="20"/>
              </w:rPr>
              <w:t>B2P</w:t>
            </w:r>
          </w:p>
          <w:p w14:paraId="3985BFD5" w14:textId="77777777" w:rsidR="004E53FD" w:rsidRDefault="004E53FD" w:rsidP="004E53FD">
            <w:pPr>
              <w:pStyle w:val="NoSpacing"/>
              <w:rPr>
                <w:rFonts w:cstheme="minorHAnsi"/>
                <w:sz w:val="20"/>
                <w:szCs w:val="20"/>
              </w:rPr>
            </w:pPr>
            <w:r>
              <w:rPr>
                <w:rFonts w:cstheme="minorHAnsi"/>
                <w:sz w:val="20"/>
                <w:szCs w:val="20"/>
              </w:rPr>
              <w:t>Concur</w:t>
            </w:r>
          </w:p>
          <w:p w14:paraId="5B1D1988" w14:textId="77777777" w:rsidR="004E53FD" w:rsidRPr="00056114" w:rsidRDefault="004E53FD" w:rsidP="004E53FD">
            <w:pPr>
              <w:rPr>
                <w:rFonts w:cstheme="minorHAnsi"/>
                <w:b/>
                <w:sz w:val="20"/>
                <w:szCs w:val="20"/>
              </w:rPr>
            </w:pPr>
            <w:r w:rsidRPr="00056114">
              <w:rPr>
                <w:rFonts w:cstheme="minorHAnsi"/>
                <w:sz w:val="20"/>
                <w:szCs w:val="20"/>
              </w:rPr>
              <w:t>Oracle</w:t>
            </w:r>
          </w:p>
          <w:p w14:paraId="5A63BF0F" w14:textId="77777777" w:rsidR="004E53FD" w:rsidRDefault="004E53FD" w:rsidP="004E53FD">
            <w:pPr>
              <w:pStyle w:val="NoSpacing"/>
              <w:rPr>
                <w:rFonts w:cstheme="minorHAnsi"/>
                <w:sz w:val="20"/>
                <w:szCs w:val="20"/>
              </w:rPr>
            </w:pPr>
          </w:p>
        </w:tc>
      </w:tr>
      <w:tr w:rsidR="004E53FD" w:rsidRPr="00056114" w14:paraId="367EB6D4" w14:textId="2C396AD8" w:rsidTr="00B50AAC">
        <w:trPr>
          <w:cnfStyle w:val="000000010000" w:firstRow="0" w:lastRow="0" w:firstColumn="0" w:lastColumn="0" w:oddVBand="0" w:evenVBand="0" w:oddHBand="0" w:evenHBand="1" w:firstRowFirstColumn="0" w:firstRowLastColumn="0" w:lastRowFirstColumn="0" w:lastRowLastColumn="0"/>
        </w:trPr>
        <w:tc>
          <w:tcPr>
            <w:tcW w:w="1885" w:type="dxa"/>
          </w:tcPr>
          <w:p w14:paraId="0EFB3073" w14:textId="58C952D4" w:rsidR="004E53FD" w:rsidRPr="00056114" w:rsidRDefault="004E53FD" w:rsidP="004E53FD">
            <w:pPr>
              <w:rPr>
                <w:rFonts w:cstheme="minorHAnsi"/>
                <w:sz w:val="20"/>
                <w:szCs w:val="20"/>
              </w:rPr>
            </w:pPr>
            <w:hyperlink r:id="rId52" w:history="1">
              <w:r w:rsidRPr="009A7B82">
                <w:rPr>
                  <w:rStyle w:val="Hyperlink"/>
                  <w:rFonts w:cstheme="minorHAnsi"/>
                  <w:sz w:val="20"/>
                  <w:szCs w:val="20"/>
                </w:rPr>
                <w:t>Honoraria and Reimbursements for Foreign Nationals</w:t>
              </w:r>
            </w:hyperlink>
          </w:p>
        </w:tc>
        <w:tc>
          <w:tcPr>
            <w:tcW w:w="5940" w:type="dxa"/>
          </w:tcPr>
          <w:p w14:paraId="6B97B81A" w14:textId="1ABC8688" w:rsidR="004E53FD" w:rsidRPr="00056114" w:rsidRDefault="004E53FD" w:rsidP="004E53FD">
            <w:pPr>
              <w:pStyle w:val="NoSpacing"/>
              <w:rPr>
                <w:rFonts w:cstheme="minorHAnsi"/>
                <w:sz w:val="20"/>
                <w:szCs w:val="20"/>
              </w:rPr>
            </w:pPr>
            <w:r w:rsidRPr="00056114">
              <w:rPr>
                <w:rFonts w:cstheme="minorHAnsi"/>
                <w:sz w:val="20"/>
                <w:szCs w:val="20"/>
              </w:rPr>
              <w:t>This policy outlines the circumstances in which the University can provide compensation to or pay for the travel expenses of guest speakers who are foreign nationals and describes the associated tax implications. Harvard must make all payments to guest speakers who are foreign nationals in accordance with immigration law and IRS regulations.</w:t>
            </w:r>
          </w:p>
        </w:tc>
        <w:tc>
          <w:tcPr>
            <w:tcW w:w="1800" w:type="dxa"/>
          </w:tcPr>
          <w:p w14:paraId="46296668" w14:textId="77777777" w:rsidR="004E53FD" w:rsidRDefault="004E53FD" w:rsidP="004E53FD">
            <w:pPr>
              <w:pStyle w:val="NoSpacing"/>
              <w:rPr>
                <w:rFonts w:cstheme="minorHAnsi"/>
                <w:sz w:val="20"/>
                <w:szCs w:val="20"/>
              </w:rPr>
            </w:pPr>
            <w:r>
              <w:rPr>
                <w:rFonts w:cstheme="minorHAnsi"/>
                <w:sz w:val="20"/>
                <w:szCs w:val="20"/>
              </w:rPr>
              <w:t>N/A</w:t>
            </w:r>
          </w:p>
          <w:p w14:paraId="2F3F76B1" w14:textId="77777777" w:rsidR="004E53FD" w:rsidRPr="00056114" w:rsidRDefault="004E53FD" w:rsidP="004E53FD">
            <w:pPr>
              <w:pStyle w:val="NoSpacing"/>
              <w:rPr>
                <w:rFonts w:cstheme="minorHAnsi"/>
                <w:sz w:val="20"/>
                <w:szCs w:val="20"/>
              </w:rPr>
            </w:pPr>
          </w:p>
        </w:tc>
        <w:tc>
          <w:tcPr>
            <w:tcW w:w="1530" w:type="dxa"/>
          </w:tcPr>
          <w:p w14:paraId="4D1C3EE9" w14:textId="77777777" w:rsidR="009B3E14" w:rsidRDefault="009B3E14" w:rsidP="009B3E14">
            <w:pPr>
              <w:pStyle w:val="NoSpacing"/>
              <w:spacing w:after="120"/>
              <w:rPr>
                <w:rFonts w:cstheme="minorHAnsi"/>
                <w:sz w:val="20"/>
                <w:szCs w:val="20"/>
              </w:rPr>
            </w:pPr>
            <w:hyperlink r:id="rId53" w:history="1">
              <w:r w:rsidRPr="005502C6">
                <w:rPr>
                  <w:rStyle w:val="Hyperlink"/>
                  <w:rFonts w:cstheme="minorHAnsi"/>
                  <w:sz w:val="20"/>
                  <w:szCs w:val="20"/>
                </w:rPr>
                <w:t>B2P</w:t>
              </w:r>
            </w:hyperlink>
          </w:p>
          <w:p w14:paraId="12288FD5" w14:textId="77777777" w:rsidR="009B3E14" w:rsidRDefault="009B3E14" w:rsidP="009B3E14">
            <w:pPr>
              <w:pStyle w:val="NoSpacing"/>
              <w:spacing w:after="120"/>
              <w:rPr>
                <w:rFonts w:cstheme="minorHAnsi"/>
                <w:sz w:val="20"/>
                <w:szCs w:val="20"/>
              </w:rPr>
            </w:pPr>
            <w:hyperlink r:id="rId54" w:history="1">
              <w:r w:rsidRPr="009E1D08">
                <w:rPr>
                  <w:rStyle w:val="Hyperlink"/>
                  <w:rFonts w:cstheme="minorHAnsi"/>
                  <w:sz w:val="20"/>
                  <w:szCs w:val="20"/>
                </w:rPr>
                <w:t>Concur</w:t>
              </w:r>
            </w:hyperlink>
          </w:p>
          <w:p w14:paraId="1EC863FE" w14:textId="12459317" w:rsidR="004E53FD" w:rsidRDefault="004E53FD" w:rsidP="004E53FD">
            <w:pPr>
              <w:pStyle w:val="NoSpacing"/>
              <w:rPr>
                <w:rFonts w:cstheme="minorHAnsi"/>
                <w:sz w:val="20"/>
                <w:szCs w:val="20"/>
              </w:rPr>
            </w:pPr>
          </w:p>
        </w:tc>
        <w:tc>
          <w:tcPr>
            <w:tcW w:w="1710" w:type="dxa"/>
          </w:tcPr>
          <w:p w14:paraId="117C397B" w14:textId="6102A8B5" w:rsidR="004E53FD" w:rsidRDefault="004E53FD" w:rsidP="004E53FD">
            <w:pPr>
              <w:pStyle w:val="NoSpacing"/>
              <w:rPr>
                <w:rFonts w:cstheme="minorHAnsi"/>
                <w:sz w:val="20"/>
                <w:szCs w:val="20"/>
              </w:rPr>
            </w:pPr>
            <w:r>
              <w:rPr>
                <w:rFonts w:cstheme="minorHAnsi"/>
                <w:sz w:val="20"/>
                <w:szCs w:val="20"/>
              </w:rPr>
              <w:t>University financial Services</w:t>
            </w:r>
          </w:p>
        </w:tc>
        <w:tc>
          <w:tcPr>
            <w:tcW w:w="1350" w:type="dxa"/>
          </w:tcPr>
          <w:p w14:paraId="65F9F1FF" w14:textId="530F6AAC" w:rsidR="004E53FD" w:rsidRDefault="004E53FD" w:rsidP="004E53FD">
            <w:pPr>
              <w:pStyle w:val="NoSpacing"/>
              <w:rPr>
                <w:rFonts w:cstheme="minorHAnsi"/>
                <w:sz w:val="20"/>
                <w:szCs w:val="20"/>
              </w:rPr>
            </w:pPr>
            <w:r>
              <w:rPr>
                <w:rFonts w:cstheme="minorHAnsi"/>
                <w:sz w:val="20"/>
                <w:szCs w:val="20"/>
              </w:rPr>
              <w:t>B2P</w:t>
            </w:r>
          </w:p>
          <w:p w14:paraId="40C5BCA5" w14:textId="77777777" w:rsidR="004E53FD" w:rsidRDefault="004E53FD" w:rsidP="004E53FD">
            <w:pPr>
              <w:pStyle w:val="NoSpacing"/>
              <w:rPr>
                <w:rFonts w:cstheme="minorHAnsi"/>
                <w:sz w:val="20"/>
                <w:szCs w:val="20"/>
              </w:rPr>
            </w:pPr>
            <w:r>
              <w:rPr>
                <w:rFonts w:cstheme="minorHAnsi"/>
                <w:sz w:val="20"/>
                <w:szCs w:val="20"/>
              </w:rPr>
              <w:t>Concur</w:t>
            </w:r>
          </w:p>
          <w:p w14:paraId="7CE2ED30" w14:textId="77777777" w:rsidR="004E53FD" w:rsidRPr="00056114" w:rsidRDefault="004E53FD" w:rsidP="004E53FD">
            <w:pPr>
              <w:rPr>
                <w:rFonts w:cstheme="minorHAnsi"/>
                <w:b/>
                <w:sz w:val="20"/>
                <w:szCs w:val="20"/>
              </w:rPr>
            </w:pPr>
            <w:r w:rsidRPr="00056114">
              <w:rPr>
                <w:rFonts w:cstheme="minorHAnsi"/>
                <w:sz w:val="20"/>
                <w:szCs w:val="20"/>
              </w:rPr>
              <w:t>Oracle</w:t>
            </w:r>
          </w:p>
          <w:p w14:paraId="31C49DB0" w14:textId="77777777" w:rsidR="004E53FD" w:rsidRPr="00056114" w:rsidRDefault="004E53FD" w:rsidP="004E53FD">
            <w:pPr>
              <w:pStyle w:val="NoSpacing"/>
              <w:rPr>
                <w:rFonts w:cstheme="minorHAnsi"/>
                <w:sz w:val="20"/>
                <w:szCs w:val="20"/>
              </w:rPr>
            </w:pPr>
          </w:p>
        </w:tc>
      </w:tr>
      <w:tr w:rsidR="004E53FD" w:rsidRPr="00056114" w14:paraId="58AE5EA4" w14:textId="57CFE9AF" w:rsidTr="00CA2CD2">
        <w:tc>
          <w:tcPr>
            <w:tcW w:w="1885" w:type="dxa"/>
            <w:shd w:val="clear" w:color="auto" w:fill="F2F2F2" w:themeFill="background1" w:themeFillShade="F2"/>
          </w:tcPr>
          <w:p w14:paraId="3638C6BF" w14:textId="43108C7D" w:rsidR="004E53FD" w:rsidRPr="00056114" w:rsidRDefault="004E53FD" w:rsidP="004E53FD">
            <w:pPr>
              <w:rPr>
                <w:rFonts w:cstheme="minorHAnsi"/>
                <w:sz w:val="20"/>
                <w:szCs w:val="20"/>
              </w:rPr>
            </w:pPr>
            <w:hyperlink r:id="rId55" w:history="1">
              <w:r w:rsidRPr="00EA2B1B">
                <w:rPr>
                  <w:rStyle w:val="Hyperlink"/>
                  <w:rFonts w:cstheme="minorHAnsi"/>
                  <w:sz w:val="20"/>
                  <w:szCs w:val="20"/>
                </w:rPr>
                <w:t>Human Subject Payments</w:t>
              </w:r>
            </w:hyperlink>
          </w:p>
        </w:tc>
        <w:tc>
          <w:tcPr>
            <w:tcW w:w="5940" w:type="dxa"/>
            <w:shd w:val="clear" w:color="auto" w:fill="F2F2F2" w:themeFill="background1" w:themeFillShade="F2"/>
          </w:tcPr>
          <w:p w14:paraId="56821D64" w14:textId="0E1E104B" w:rsidR="004E53FD" w:rsidRPr="00056114" w:rsidRDefault="004E53FD" w:rsidP="004E53FD">
            <w:pPr>
              <w:pStyle w:val="NoSpacing"/>
              <w:rPr>
                <w:rFonts w:cstheme="minorHAnsi"/>
                <w:sz w:val="20"/>
                <w:szCs w:val="20"/>
              </w:rPr>
            </w:pPr>
            <w:r w:rsidRPr="00056114">
              <w:rPr>
                <w:rFonts w:cstheme="minorHAnsi"/>
                <w:sz w:val="20"/>
                <w:szCs w:val="20"/>
              </w:rPr>
              <w:t>This policy establishes the tax reporting requirements and data-security protocols related to the payment of human subjects at Harvard. High-risk confidential information must only be collected when necessary and any confidential information collected must be protected in accordance with the University’s Enterprise Information Security Policy.</w:t>
            </w:r>
          </w:p>
        </w:tc>
        <w:tc>
          <w:tcPr>
            <w:tcW w:w="1800" w:type="dxa"/>
            <w:shd w:val="clear" w:color="auto" w:fill="F2F2F2" w:themeFill="background1" w:themeFillShade="F2"/>
          </w:tcPr>
          <w:p w14:paraId="0EA175DD" w14:textId="3A999B05" w:rsidR="004E53FD" w:rsidRPr="00056114" w:rsidRDefault="004E53FD" w:rsidP="004E53FD">
            <w:pPr>
              <w:pStyle w:val="NoSpacing"/>
              <w:rPr>
                <w:rFonts w:cstheme="minorHAnsi"/>
                <w:sz w:val="20"/>
                <w:szCs w:val="20"/>
              </w:rPr>
            </w:pPr>
            <w:r>
              <w:rPr>
                <w:sz w:val="20"/>
                <w:szCs w:val="20"/>
                <w:lang w:val="en"/>
              </w:rPr>
              <w:t>N/A</w:t>
            </w:r>
            <w:r w:rsidRPr="00056114">
              <w:rPr>
                <w:sz w:val="20"/>
                <w:szCs w:val="20"/>
                <w:lang w:val="en"/>
              </w:rPr>
              <w:t xml:space="preserve"> </w:t>
            </w:r>
          </w:p>
        </w:tc>
        <w:tc>
          <w:tcPr>
            <w:tcW w:w="1530" w:type="dxa"/>
            <w:shd w:val="clear" w:color="auto" w:fill="F2F2F2" w:themeFill="background1" w:themeFillShade="F2"/>
          </w:tcPr>
          <w:p w14:paraId="610AFD6C" w14:textId="77777777" w:rsidR="004E53FD" w:rsidRDefault="004E53FD" w:rsidP="00B2192E">
            <w:pPr>
              <w:pStyle w:val="NoSpacing"/>
              <w:spacing w:after="120"/>
              <w:rPr>
                <w:rFonts w:cstheme="minorHAnsi"/>
                <w:sz w:val="20"/>
                <w:szCs w:val="20"/>
              </w:rPr>
            </w:pPr>
            <w:hyperlink r:id="rId56" w:history="1">
              <w:r w:rsidRPr="005502C6">
                <w:rPr>
                  <w:rStyle w:val="Hyperlink"/>
                  <w:rFonts w:cstheme="minorHAnsi"/>
                  <w:sz w:val="20"/>
                  <w:szCs w:val="20"/>
                </w:rPr>
                <w:t>B2P</w:t>
              </w:r>
            </w:hyperlink>
          </w:p>
          <w:p w14:paraId="233C4680" w14:textId="77777777" w:rsidR="004E53FD" w:rsidRDefault="004E53FD" w:rsidP="00B2192E">
            <w:pPr>
              <w:pStyle w:val="NoSpacing"/>
              <w:spacing w:after="120"/>
              <w:rPr>
                <w:rFonts w:cstheme="minorHAnsi"/>
                <w:sz w:val="20"/>
                <w:szCs w:val="20"/>
              </w:rPr>
            </w:pPr>
            <w:hyperlink r:id="rId57" w:history="1">
              <w:r w:rsidRPr="009E1D08">
                <w:rPr>
                  <w:rStyle w:val="Hyperlink"/>
                  <w:rFonts w:cstheme="minorHAnsi"/>
                  <w:sz w:val="20"/>
                  <w:szCs w:val="20"/>
                </w:rPr>
                <w:t>Concur</w:t>
              </w:r>
            </w:hyperlink>
          </w:p>
          <w:p w14:paraId="3254CB8C" w14:textId="0AF2E4B2" w:rsidR="004E53FD" w:rsidRDefault="004E53FD" w:rsidP="004E53FD">
            <w:pPr>
              <w:pStyle w:val="NoSpacing"/>
              <w:rPr>
                <w:rFonts w:cstheme="minorHAnsi"/>
                <w:sz w:val="20"/>
                <w:szCs w:val="20"/>
              </w:rPr>
            </w:pPr>
          </w:p>
        </w:tc>
        <w:tc>
          <w:tcPr>
            <w:tcW w:w="1710" w:type="dxa"/>
            <w:shd w:val="clear" w:color="auto" w:fill="F2F2F2" w:themeFill="background1" w:themeFillShade="F2"/>
          </w:tcPr>
          <w:p w14:paraId="147FAE7B" w14:textId="48E08129" w:rsidR="004E53FD" w:rsidRDefault="004E53FD" w:rsidP="004E53FD">
            <w:pPr>
              <w:pStyle w:val="NoSpacing"/>
              <w:rPr>
                <w:rFonts w:cstheme="minorHAnsi"/>
                <w:sz w:val="20"/>
                <w:szCs w:val="20"/>
              </w:rPr>
            </w:pPr>
            <w:r>
              <w:rPr>
                <w:rFonts w:cstheme="minorHAnsi"/>
                <w:sz w:val="20"/>
                <w:szCs w:val="20"/>
              </w:rPr>
              <w:t>Financial Policy Office</w:t>
            </w:r>
          </w:p>
        </w:tc>
        <w:tc>
          <w:tcPr>
            <w:tcW w:w="1350" w:type="dxa"/>
            <w:shd w:val="clear" w:color="auto" w:fill="F2F2F2" w:themeFill="background1" w:themeFillShade="F2"/>
          </w:tcPr>
          <w:p w14:paraId="6CD895CB" w14:textId="51F08DE0" w:rsidR="004E53FD" w:rsidRDefault="004E53FD" w:rsidP="004E53FD">
            <w:pPr>
              <w:pStyle w:val="NoSpacing"/>
              <w:rPr>
                <w:rFonts w:cstheme="minorHAnsi"/>
                <w:sz w:val="20"/>
                <w:szCs w:val="20"/>
              </w:rPr>
            </w:pPr>
            <w:r>
              <w:rPr>
                <w:rFonts w:cstheme="minorHAnsi"/>
                <w:sz w:val="20"/>
                <w:szCs w:val="20"/>
              </w:rPr>
              <w:t>B2P</w:t>
            </w:r>
          </w:p>
          <w:p w14:paraId="4BF76CF4" w14:textId="77777777" w:rsidR="004E53FD" w:rsidRDefault="004E53FD" w:rsidP="004E53FD">
            <w:pPr>
              <w:pStyle w:val="NoSpacing"/>
              <w:rPr>
                <w:rFonts w:cstheme="minorHAnsi"/>
                <w:sz w:val="20"/>
                <w:szCs w:val="20"/>
              </w:rPr>
            </w:pPr>
            <w:r>
              <w:rPr>
                <w:rFonts w:cstheme="minorHAnsi"/>
                <w:sz w:val="20"/>
                <w:szCs w:val="20"/>
              </w:rPr>
              <w:t>Concur</w:t>
            </w:r>
          </w:p>
          <w:p w14:paraId="6E1BAF2B" w14:textId="77777777" w:rsidR="004E53FD" w:rsidRPr="00056114" w:rsidRDefault="004E53FD" w:rsidP="004E53FD">
            <w:pPr>
              <w:rPr>
                <w:rFonts w:cstheme="minorHAnsi"/>
                <w:b/>
                <w:sz w:val="20"/>
                <w:szCs w:val="20"/>
              </w:rPr>
            </w:pPr>
            <w:r w:rsidRPr="00056114">
              <w:rPr>
                <w:rFonts w:cstheme="minorHAnsi"/>
                <w:sz w:val="20"/>
                <w:szCs w:val="20"/>
              </w:rPr>
              <w:t>Oracle</w:t>
            </w:r>
          </w:p>
          <w:p w14:paraId="5E44D33C" w14:textId="77777777" w:rsidR="004E53FD" w:rsidRPr="00056114" w:rsidRDefault="004E53FD" w:rsidP="004E53FD">
            <w:pPr>
              <w:pStyle w:val="NoSpacing"/>
              <w:rPr>
                <w:rFonts w:cstheme="minorHAnsi"/>
                <w:sz w:val="20"/>
                <w:szCs w:val="20"/>
              </w:rPr>
            </w:pPr>
          </w:p>
        </w:tc>
      </w:tr>
      <w:tr w:rsidR="004E53FD" w:rsidRPr="00056114" w14:paraId="241BCF78" w14:textId="71ADCE42" w:rsidTr="00B50AAC">
        <w:trPr>
          <w:cnfStyle w:val="000000010000" w:firstRow="0" w:lastRow="0" w:firstColumn="0" w:lastColumn="0" w:oddVBand="0" w:evenVBand="0" w:oddHBand="0" w:evenHBand="1" w:firstRowFirstColumn="0" w:firstRowLastColumn="0" w:lastRowFirstColumn="0" w:lastRowLastColumn="0"/>
        </w:trPr>
        <w:tc>
          <w:tcPr>
            <w:tcW w:w="1885" w:type="dxa"/>
          </w:tcPr>
          <w:p w14:paraId="3471A733" w14:textId="28DE5EA8" w:rsidR="004E53FD" w:rsidRPr="00056114" w:rsidRDefault="004E53FD" w:rsidP="004E53FD">
            <w:pPr>
              <w:rPr>
                <w:rFonts w:cstheme="minorHAnsi"/>
                <w:sz w:val="20"/>
                <w:szCs w:val="20"/>
              </w:rPr>
            </w:pPr>
            <w:hyperlink r:id="rId58" w:history="1">
              <w:r w:rsidRPr="00EA2B1B">
                <w:rPr>
                  <w:rStyle w:val="Hyperlink"/>
                  <w:rFonts w:cstheme="minorHAnsi"/>
                  <w:sz w:val="20"/>
                  <w:szCs w:val="20"/>
                </w:rPr>
                <w:t>Independent Contractor Classification</w:t>
              </w:r>
            </w:hyperlink>
            <w:r w:rsidRPr="00056114">
              <w:rPr>
                <w:rFonts w:cstheme="minorHAnsi"/>
                <w:sz w:val="20"/>
                <w:szCs w:val="20"/>
              </w:rPr>
              <w:t xml:space="preserve"> </w:t>
            </w:r>
          </w:p>
        </w:tc>
        <w:tc>
          <w:tcPr>
            <w:tcW w:w="5940" w:type="dxa"/>
          </w:tcPr>
          <w:p w14:paraId="03746A39" w14:textId="75E224C6" w:rsidR="004E53FD" w:rsidRPr="00056114" w:rsidRDefault="004E53FD" w:rsidP="004E53FD">
            <w:pPr>
              <w:pStyle w:val="NoSpacing"/>
              <w:rPr>
                <w:rFonts w:cstheme="minorHAnsi"/>
                <w:sz w:val="20"/>
                <w:szCs w:val="20"/>
              </w:rPr>
            </w:pPr>
            <w:r w:rsidRPr="00056114">
              <w:rPr>
                <w:rFonts w:cstheme="minorHAnsi"/>
                <w:sz w:val="20"/>
                <w:szCs w:val="20"/>
              </w:rPr>
              <w:t xml:space="preserve">A worker providing services to the University must be properly classified as either an employee or an independent contractor. If a worker is classified as an independent contractor, all supporting documentation referenced in this policy must be completed and signed before services are rendered. </w:t>
            </w:r>
          </w:p>
        </w:tc>
        <w:tc>
          <w:tcPr>
            <w:tcW w:w="1800" w:type="dxa"/>
          </w:tcPr>
          <w:p w14:paraId="3E6AF482" w14:textId="77777777" w:rsidR="004E53FD" w:rsidRDefault="004E53FD" w:rsidP="004E53FD">
            <w:pPr>
              <w:pStyle w:val="NoSpacing"/>
              <w:rPr>
                <w:rFonts w:cstheme="minorHAnsi"/>
                <w:sz w:val="20"/>
                <w:szCs w:val="20"/>
              </w:rPr>
            </w:pPr>
            <w:r>
              <w:rPr>
                <w:rFonts w:cstheme="minorHAnsi"/>
                <w:sz w:val="20"/>
                <w:szCs w:val="20"/>
              </w:rPr>
              <w:t>N/A</w:t>
            </w:r>
          </w:p>
          <w:p w14:paraId="4F39BA59" w14:textId="77777777" w:rsidR="004E53FD" w:rsidRPr="00056114" w:rsidRDefault="004E53FD" w:rsidP="004E53FD">
            <w:pPr>
              <w:pStyle w:val="NoSpacing"/>
              <w:rPr>
                <w:rFonts w:cstheme="minorHAnsi"/>
                <w:sz w:val="20"/>
                <w:szCs w:val="20"/>
              </w:rPr>
            </w:pPr>
          </w:p>
        </w:tc>
        <w:tc>
          <w:tcPr>
            <w:tcW w:w="1530" w:type="dxa"/>
          </w:tcPr>
          <w:p w14:paraId="48C1E4D3" w14:textId="77777777" w:rsidR="004E53FD" w:rsidRDefault="004E53FD" w:rsidP="004E53FD">
            <w:pPr>
              <w:pStyle w:val="NoSpacing"/>
              <w:rPr>
                <w:rFonts w:cstheme="minorHAnsi"/>
                <w:sz w:val="20"/>
                <w:szCs w:val="20"/>
              </w:rPr>
            </w:pPr>
            <w:hyperlink r:id="rId59" w:history="1">
              <w:r w:rsidRPr="005502C6">
                <w:rPr>
                  <w:rStyle w:val="Hyperlink"/>
                  <w:rFonts w:cstheme="minorHAnsi"/>
                  <w:sz w:val="20"/>
                  <w:szCs w:val="20"/>
                </w:rPr>
                <w:t>B2P</w:t>
              </w:r>
            </w:hyperlink>
          </w:p>
          <w:p w14:paraId="5527CA56" w14:textId="5735DF3C" w:rsidR="004E53FD" w:rsidRDefault="004E53FD" w:rsidP="004E53FD">
            <w:pPr>
              <w:pStyle w:val="NoSpacing"/>
              <w:rPr>
                <w:rFonts w:cstheme="minorHAnsi"/>
                <w:sz w:val="20"/>
                <w:szCs w:val="20"/>
              </w:rPr>
            </w:pPr>
          </w:p>
        </w:tc>
        <w:tc>
          <w:tcPr>
            <w:tcW w:w="1710" w:type="dxa"/>
          </w:tcPr>
          <w:p w14:paraId="0E0ECD9F" w14:textId="5134C965" w:rsidR="004E53FD" w:rsidRDefault="004E53FD" w:rsidP="004E53FD">
            <w:pPr>
              <w:pStyle w:val="NoSpacing"/>
              <w:rPr>
                <w:rFonts w:cstheme="minorHAnsi"/>
                <w:sz w:val="20"/>
                <w:szCs w:val="20"/>
              </w:rPr>
            </w:pPr>
            <w:r>
              <w:rPr>
                <w:rFonts w:cstheme="minorHAnsi"/>
                <w:sz w:val="20"/>
                <w:szCs w:val="20"/>
              </w:rPr>
              <w:t>HR Labor &amp; Employee Relations and Financial Policy Office</w:t>
            </w:r>
          </w:p>
        </w:tc>
        <w:tc>
          <w:tcPr>
            <w:tcW w:w="1350" w:type="dxa"/>
          </w:tcPr>
          <w:p w14:paraId="6EFBAB63" w14:textId="26225475" w:rsidR="004E53FD" w:rsidRDefault="004E53FD" w:rsidP="004E53FD">
            <w:pPr>
              <w:pStyle w:val="NoSpacing"/>
              <w:rPr>
                <w:rFonts w:cstheme="minorHAnsi"/>
                <w:sz w:val="20"/>
                <w:szCs w:val="20"/>
              </w:rPr>
            </w:pPr>
            <w:r>
              <w:rPr>
                <w:rFonts w:cstheme="minorHAnsi"/>
                <w:sz w:val="20"/>
                <w:szCs w:val="20"/>
              </w:rPr>
              <w:t>B2P</w:t>
            </w:r>
          </w:p>
          <w:p w14:paraId="47EAE0A3" w14:textId="77777777" w:rsidR="004E53FD" w:rsidRPr="00056114" w:rsidRDefault="004E53FD" w:rsidP="004E53FD">
            <w:pPr>
              <w:rPr>
                <w:rFonts w:cstheme="minorHAnsi"/>
                <w:b/>
                <w:sz w:val="20"/>
                <w:szCs w:val="20"/>
              </w:rPr>
            </w:pPr>
            <w:r w:rsidRPr="00056114">
              <w:rPr>
                <w:rFonts w:cstheme="minorHAnsi"/>
                <w:sz w:val="20"/>
                <w:szCs w:val="20"/>
              </w:rPr>
              <w:t>Oracle</w:t>
            </w:r>
          </w:p>
          <w:p w14:paraId="33CEB17D" w14:textId="77777777" w:rsidR="004E53FD" w:rsidRPr="00056114" w:rsidRDefault="004E53FD" w:rsidP="004E53FD">
            <w:pPr>
              <w:pStyle w:val="NoSpacing"/>
              <w:rPr>
                <w:rFonts w:cstheme="minorHAnsi"/>
                <w:sz w:val="20"/>
                <w:szCs w:val="20"/>
              </w:rPr>
            </w:pPr>
          </w:p>
        </w:tc>
      </w:tr>
      <w:tr w:rsidR="004E53FD" w:rsidRPr="00056114" w14:paraId="12DABD59" w14:textId="6646E0DE" w:rsidTr="00CA2CD2">
        <w:tc>
          <w:tcPr>
            <w:tcW w:w="1885" w:type="dxa"/>
            <w:shd w:val="clear" w:color="auto" w:fill="F2F2F2" w:themeFill="background1" w:themeFillShade="F2"/>
          </w:tcPr>
          <w:p w14:paraId="59F3025D" w14:textId="790AF5B8" w:rsidR="004E53FD" w:rsidRPr="00056114" w:rsidRDefault="004E53FD" w:rsidP="004E53FD">
            <w:pPr>
              <w:rPr>
                <w:rFonts w:cstheme="minorHAnsi"/>
                <w:sz w:val="20"/>
                <w:szCs w:val="20"/>
              </w:rPr>
            </w:pPr>
            <w:hyperlink r:id="rId60" w:history="1">
              <w:r w:rsidRPr="00EA2B1B">
                <w:rPr>
                  <w:rStyle w:val="Hyperlink"/>
                  <w:rFonts w:cstheme="minorHAnsi"/>
                  <w:sz w:val="20"/>
                  <w:szCs w:val="20"/>
                </w:rPr>
                <w:t>Internal Billing Transactions</w:t>
              </w:r>
            </w:hyperlink>
          </w:p>
        </w:tc>
        <w:tc>
          <w:tcPr>
            <w:tcW w:w="5940" w:type="dxa"/>
            <w:shd w:val="clear" w:color="auto" w:fill="F2F2F2" w:themeFill="background1" w:themeFillShade="F2"/>
          </w:tcPr>
          <w:p w14:paraId="74699DE1" w14:textId="34817C38" w:rsidR="004E53FD" w:rsidRPr="00056114" w:rsidRDefault="004E53FD" w:rsidP="004E53FD">
            <w:pPr>
              <w:pStyle w:val="NoSpacing"/>
              <w:rPr>
                <w:rFonts w:cstheme="minorHAnsi"/>
                <w:sz w:val="20"/>
                <w:szCs w:val="20"/>
              </w:rPr>
            </w:pPr>
            <w:r w:rsidRPr="00056114">
              <w:rPr>
                <w:rFonts w:cstheme="minorHAnsi"/>
                <w:sz w:val="20"/>
                <w:szCs w:val="20"/>
              </w:rPr>
              <w:t xml:space="preserve">This policy establishes the proper accounting treatment for transactions where one Harvard unit bills another Harvard unit for goods or services, including internal billings from academic service centers and from central service units. </w:t>
            </w:r>
          </w:p>
        </w:tc>
        <w:tc>
          <w:tcPr>
            <w:tcW w:w="1800" w:type="dxa"/>
            <w:shd w:val="clear" w:color="auto" w:fill="F2F2F2" w:themeFill="background1" w:themeFillShade="F2"/>
          </w:tcPr>
          <w:p w14:paraId="00BB19E5" w14:textId="5B1302E4" w:rsidR="004E53FD" w:rsidRPr="00056114" w:rsidRDefault="004E53FD" w:rsidP="004E53FD">
            <w:pPr>
              <w:pStyle w:val="NoSpacing"/>
              <w:rPr>
                <w:rFonts w:cstheme="minorHAnsi"/>
                <w:sz w:val="20"/>
                <w:szCs w:val="20"/>
              </w:rPr>
            </w:pPr>
            <w:hyperlink r:id="rId61" w:history="1">
              <w:r w:rsidRPr="009B1333">
                <w:rPr>
                  <w:rStyle w:val="Hyperlink"/>
                  <w:rFonts w:cstheme="minorHAnsi"/>
                  <w:sz w:val="20"/>
                  <w:szCs w:val="20"/>
                </w:rPr>
                <w:t>Financial Close and Reporting</w:t>
              </w:r>
            </w:hyperlink>
          </w:p>
        </w:tc>
        <w:tc>
          <w:tcPr>
            <w:tcW w:w="1530" w:type="dxa"/>
            <w:shd w:val="clear" w:color="auto" w:fill="F2F2F2" w:themeFill="background1" w:themeFillShade="F2"/>
          </w:tcPr>
          <w:p w14:paraId="1447E431" w14:textId="77777777" w:rsidR="00B2192E" w:rsidRDefault="00B2192E" w:rsidP="00B2192E">
            <w:pPr>
              <w:pStyle w:val="NoSpacing"/>
              <w:spacing w:after="120"/>
              <w:rPr>
                <w:rFonts w:cstheme="minorHAnsi"/>
                <w:sz w:val="20"/>
                <w:szCs w:val="20"/>
              </w:rPr>
            </w:pPr>
            <w:hyperlink r:id="rId62" w:history="1">
              <w:r w:rsidRPr="005502C6">
                <w:rPr>
                  <w:rStyle w:val="Hyperlink"/>
                  <w:rFonts w:cstheme="minorHAnsi"/>
                  <w:sz w:val="20"/>
                  <w:szCs w:val="20"/>
                </w:rPr>
                <w:t>B2P</w:t>
              </w:r>
            </w:hyperlink>
          </w:p>
          <w:p w14:paraId="2509ED5D" w14:textId="77777777" w:rsidR="00B2192E" w:rsidRDefault="00B2192E" w:rsidP="00B2192E">
            <w:pPr>
              <w:pStyle w:val="NoSpacing"/>
              <w:spacing w:after="120"/>
              <w:rPr>
                <w:rFonts w:cstheme="minorHAnsi"/>
                <w:sz w:val="20"/>
                <w:szCs w:val="20"/>
              </w:rPr>
            </w:pPr>
            <w:hyperlink r:id="rId63" w:history="1">
              <w:r w:rsidRPr="009E1D08">
                <w:rPr>
                  <w:rStyle w:val="Hyperlink"/>
                  <w:rFonts w:cstheme="minorHAnsi"/>
                  <w:sz w:val="20"/>
                  <w:szCs w:val="20"/>
                </w:rPr>
                <w:t>Concur</w:t>
              </w:r>
            </w:hyperlink>
          </w:p>
          <w:p w14:paraId="4CE85A8D" w14:textId="7DFAEE63" w:rsidR="004E53FD" w:rsidRDefault="004E53FD" w:rsidP="004E53FD">
            <w:pPr>
              <w:pStyle w:val="NoSpacing"/>
              <w:rPr>
                <w:rFonts w:cstheme="minorHAnsi"/>
                <w:sz w:val="20"/>
                <w:szCs w:val="20"/>
              </w:rPr>
            </w:pPr>
          </w:p>
        </w:tc>
        <w:tc>
          <w:tcPr>
            <w:tcW w:w="1710" w:type="dxa"/>
            <w:shd w:val="clear" w:color="auto" w:fill="F2F2F2" w:themeFill="background1" w:themeFillShade="F2"/>
          </w:tcPr>
          <w:p w14:paraId="44D624C6" w14:textId="18992F6F" w:rsidR="004E53FD" w:rsidRDefault="004E53FD" w:rsidP="004E53FD">
            <w:pPr>
              <w:pStyle w:val="NoSpacing"/>
              <w:rPr>
                <w:rFonts w:cstheme="minorHAnsi"/>
                <w:sz w:val="20"/>
                <w:szCs w:val="20"/>
              </w:rPr>
            </w:pPr>
            <w:r>
              <w:rPr>
                <w:rFonts w:cstheme="minorHAnsi"/>
                <w:sz w:val="20"/>
                <w:szCs w:val="20"/>
              </w:rPr>
              <w:t>Financial Accounting and Reporting</w:t>
            </w:r>
          </w:p>
        </w:tc>
        <w:tc>
          <w:tcPr>
            <w:tcW w:w="1350" w:type="dxa"/>
            <w:shd w:val="clear" w:color="auto" w:fill="F2F2F2" w:themeFill="background1" w:themeFillShade="F2"/>
          </w:tcPr>
          <w:p w14:paraId="5D8B6335" w14:textId="7A951867" w:rsidR="004E53FD" w:rsidRDefault="004E53FD" w:rsidP="004E53FD">
            <w:pPr>
              <w:pStyle w:val="NoSpacing"/>
              <w:rPr>
                <w:rFonts w:cstheme="minorHAnsi"/>
                <w:sz w:val="20"/>
                <w:szCs w:val="20"/>
              </w:rPr>
            </w:pPr>
            <w:r>
              <w:rPr>
                <w:rFonts w:cstheme="minorHAnsi"/>
                <w:sz w:val="20"/>
                <w:szCs w:val="20"/>
              </w:rPr>
              <w:t>B2P</w:t>
            </w:r>
          </w:p>
          <w:p w14:paraId="4769D786" w14:textId="77777777" w:rsidR="004E53FD" w:rsidRDefault="004E53FD" w:rsidP="004E53FD">
            <w:pPr>
              <w:pStyle w:val="NoSpacing"/>
              <w:rPr>
                <w:rFonts w:cstheme="minorHAnsi"/>
                <w:sz w:val="20"/>
                <w:szCs w:val="20"/>
              </w:rPr>
            </w:pPr>
            <w:r>
              <w:rPr>
                <w:rFonts w:cstheme="minorHAnsi"/>
                <w:sz w:val="20"/>
                <w:szCs w:val="20"/>
              </w:rPr>
              <w:t>Concur</w:t>
            </w:r>
          </w:p>
          <w:p w14:paraId="427DFF67" w14:textId="77777777" w:rsidR="004E53FD" w:rsidRPr="00056114" w:rsidRDefault="004E53FD" w:rsidP="004E53FD">
            <w:pPr>
              <w:rPr>
                <w:rFonts w:cstheme="minorHAnsi"/>
                <w:b/>
                <w:sz w:val="20"/>
                <w:szCs w:val="20"/>
              </w:rPr>
            </w:pPr>
            <w:r w:rsidRPr="00056114">
              <w:rPr>
                <w:rFonts w:cstheme="minorHAnsi"/>
                <w:sz w:val="20"/>
                <w:szCs w:val="20"/>
              </w:rPr>
              <w:t>Oracle</w:t>
            </w:r>
          </w:p>
          <w:p w14:paraId="482D89BA" w14:textId="77777777" w:rsidR="004E53FD" w:rsidRPr="00056114" w:rsidRDefault="004E53FD" w:rsidP="004E53FD">
            <w:pPr>
              <w:pStyle w:val="NoSpacing"/>
              <w:rPr>
                <w:rFonts w:cstheme="minorHAnsi"/>
                <w:sz w:val="20"/>
                <w:szCs w:val="20"/>
              </w:rPr>
            </w:pPr>
          </w:p>
        </w:tc>
      </w:tr>
      <w:tr w:rsidR="004E53FD" w:rsidRPr="00056114" w14:paraId="7C5678AE" w14:textId="55A05A75" w:rsidTr="00B50AAC">
        <w:trPr>
          <w:cnfStyle w:val="000000010000" w:firstRow="0" w:lastRow="0" w:firstColumn="0" w:lastColumn="0" w:oddVBand="0" w:evenVBand="0" w:oddHBand="0" w:evenHBand="1" w:firstRowFirstColumn="0" w:firstRowLastColumn="0" w:lastRowFirstColumn="0" w:lastRowLastColumn="0"/>
        </w:trPr>
        <w:tc>
          <w:tcPr>
            <w:tcW w:w="1885" w:type="dxa"/>
          </w:tcPr>
          <w:p w14:paraId="6C9EB581" w14:textId="42EA108E" w:rsidR="004E53FD" w:rsidRPr="00056114" w:rsidRDefault="004E53FD" w:rsidP="004E53FD">
            <w:pPr>
              <w:rPr>
                <w:rFonts w:cstheme="minorHAnsi"/>
                <w:sz w:val="20"/>
                <w:szCs w:val="20"/>
              </w:rPr>
            </w:pPr>
            <w:hyperlink r:id="rId64" w:history="1">
              <w:r w:rsidRPr="00EA2B1B">
                <w:rPr>
                  <w:rStyle w:val="Hyperlink"/>
                  <w:rFonts w:cstheme="minorHAnsi"/>
                  <w:sz w:val="20"/>
                  <w:szCs w:val="20"/>
                </w:rPr>
                <w:t>Internal Transfers</w:t>
              </w:r>
            </w:hyperlink>
          </w:p>
        </w:tc>
        <w:tc>
          <w:tcPr>
            <w:tcW w:w="5940" w:type="dxa"/>
          </w:tcPr>
          <w:p w14:paraId="6C313D92" w14:textId="77777777" w:rsidR="004E53FD" w:rsidRDefault="004E53FD" w:rsidP="004E53FD">
            <w:pPr>
              <w:pStyle w:val="NoSpacing"/>
              <w:rPr>
                <w:rFonts w:cstheme="minorHAnsi"/>
                <w:sz w:val="20"/>
                <w:szCs w:val="20"/>
              </w:rPr>
            </w:pPr>
            <w:r w:rsidRPr="00056114">
              <w:rPr>
                <w:rFonts w:cstheme="minorHAnsi"/>
                <w:sz w:val="20"/>
                <w:szCs w:val="20"/>
              </w:rPr>
              <w:t xml:space="preserve">This policy establishes the proper methods to transfer monies between funds and units. </w:t>
            </w:r>
            <w:r>
              <w:rPr>
                <w:rFonts w:cstheme="minorHAnsi"/>
                <w:sz w:val="20"/>
                <w:szCs w:val="20"/>
              </w:rPr>
              <w:t>Schools/units</w:t>
            </w:r>
            <w:r w:rsidRPr="00056114">
              <w:rPr>
                <w:rFonts w:cstheme="minorHAnsi"/>
                <w:sz w:val="20"/>
                <w:szCs w:val="20"/>
              </w:rPr>
              <w:t xml:space="preserve"> transfer monies between University funds for several reasons. These internal transfers must not increase total University income or expenses </w:t>
            </w:r>
            <w:proofErr w:type="gramStart"/>
            <w:r w:rsidRPr="00056114">
              <w:rPr>
                <w:rFonts w:cstheme="minorHAnsi"/>
                <w:sz w:val="20"/>
                <w:szCs w:val="20"/>
              </w:rPr>
              <w:t>nor</w:t>
            </w:r>
            <w:proofErr w:type="gramEnd"/>
            <w:r w:rsidRPr="00056114">
              <w:rPr>
                <w:rFonts w:cstheme="minorHAnsi"/>
                <w:sz w:val="20"/>
                <w:szCs w:val="20"/>
              </w:rPr>
              <w:t xml:space="preserve"> misstate the operating results of any University unit.</w:t>
            </w:r>
          </w:p>
          <w:p w14:paraId="3DC9A89E" w14:textId="36D9842E" w:rsidR="00E31F2F" w:rsidRPr="00056114" w:rsidRDefault="00E31F2F" w:rsidP="004E53FD">
            <w:pPr>
              <w:pStyle w:val="NoSpacing"/>
              <w:rPr>
                <w:rFonts w:cstheme="minorHAnsi"/>
                <w:sz w:val="20"/>
                <w:szCs w:val="20"/>
              </w:rPr>
            </w:pPr>
          </w:p>
        </w:tc>
        <w:tc>
          <w:tcPr>
            <w:tcW w:w="1800" w:type="dxa"/>
          </w:tcPr>
          <w:p w14:paraId="1CA93AF2" w14:textId="502F50B7" w:rsidR="004E53FD" w:rsidRPr="00056114" w:rsidRDefault="004E53FD" w:rsidP="004E53FD">
            <w:pPr>
              <w:pStyle w:val="NoSpacing"/>
              <w:rPr>
                <w:rFonts w:cstheme="minorHAnsi"/>
                <w:sz w:val="20"/>
                <w:szCs w:val="20"/>
              </w:rPr>
            </w:pPr>
            <w:hyperlink r:id="rId65" w:history="1">
              <w:r w:rsidRPr="009B1333">
                <w:rPr>
                  <w:rStyle w:val="Hyperlink"/>
                  <w:rFonts w:cstheme="minorHAnsi"/>
                  <w:sz w:val="20"/>
                  <w:szCs w:val="20"/>
                </w:rPr>
                <w:t>Financial Close and Reporting</w:t>
              </w:r>
            </w:hyperlink>
          </w:p>
        </w:tc>
        <w:tc>
          <w:tcPr>
            <w:tcW w:w="1530" w:type="dxa"/>
          </w:tcPr>
          <w:p w14:paraId="43763648" w14:textId="77777777" w:rsidR="004E53FD" w:rsidRDefault="004E53FD" w:rsidP="004E53FD">
            <w:pPr>
              <w:pStyle w:val="NoSpacing"/>
              <w:rPr>
                <w:rFonts w:cstheme="minorHAnsi"/>
                <w:sz w:val="20"/>
                <w:szCs w:val="20"/>
              </w:rPr>
            </w:pPr>
            <w:r>
              <w:rPr>
                <w:rFonts w:cstheme="minorHAnsi"/>
                <w:sz w:val="20"/>
                <w:szCs w:val="20"/>
              </w:rPr>
              <w:t>N/A</w:t>
            </w:r>
          </w:p>
          <w:p w14:paraId="530358D2" w14:textId="77777777" w:rsidR="004E53FD" w:rsidRDefault="004E53FD" w:rsidP="004E53FD">
            <w:pPr>
              <w:pStyle w:val="NoSpacing"/>
              <w:rPr>
                <w:rFonts w:cstheme="minorHAnsi"/>
                <w:sz w:val="20"/>
                <w:szCs w:val="20"/>
              </w:rPr>
            </w:pPr>
          </w:p>
        </w:tc>
        <w:tc>
          <w:tcPr>
            <w:tcW w:w="1710" w:type="dxa"/>
          </w:tcPr>
          <w:p w14:paraId="2FE7F8B0" w14:textId="4AEEB2F5" w:rsidR="004E53FD" w:rsidRDefault="004E53FD" w:rsidP="004E53FD">
            <w:pPr>
              <w:pStyle w:val="NoSpacing"/>
              <w:rPr>
                <w:rFonts w:cstheme="minorHAnsi"/>
                <w:sz w:val="20"/>
                <w:szCs w:val="20"/>
              </w:rPr>
            </w:pPr>
            <w:r>
              <w:rPr>
                <w:rFonts w:cstheme="minorHAnsi"/>
                <w:sz w:val="20"/>
                <w:szCs w:val="20"/>
              </w:rPr>
              <w:t>Financial Accounting and Reporting</w:t>
            </w:r>
          </w:p>
        </w:tc>
        <w:tc>
          <w:tcPr>
            <w:tcW w:w="1350" w:type="dxa"/>
          </w:tcPr>
          <w:p w14:paraId="03BB0F1A" w14:textId="0A4FBBE5" w:rsidR="004E53FD" w:rsidRPr="00056114" w:rsidRDefault="004E53FD" w:rsidP="004E53FD">
            <w:pPr>
              <w:pStyle w:val="NoSpacing"/>
              <w:rPr>
                <w:rFonts w:cstheme="minorHAnsi"/>
                <w:sz w:val="20"/>
                <w:szCs w:val="20"/>
              </w:rPr>
            </w:pPr>
            <w:r>
              <w:rPr>
                <w:rFonts w:cstheme="minorHAnsi"/>
                <w:sz w:val="20"/>
                <w:szCs w:val="20"/>
              </w:rPr>
              <w:t>Oracle</w:t>
            </w:r>
          </w:p>
        </w:tc>
      </w:tr>
      <w:tr w:rsidR="004E53FD" w:rsidRPr="00056114" w14:paraId="0B85DEA6" w14:textId="2146B802" w:rsidTr="00CA2CD2">
        <w:tc>
          <w:tcPr>
            <w:tcW w:w="1885" w:type="dxa"/>
            <w:shd w:val="clear" w:color="auto" w:fill="F2F2F2" w:themeFill="background1" w:themeFillShade="F2"/>
          </w:tcPr>
          <w:p w14:paraId="3BE58113" w14:textId="38DA84D9" w:rsidR="004E53FD" w:rsidRDefault="004E53FD" w:rsidP="004E53FD">
            <w:pPr>
              <w:rPr>
                <w:rFonts w:cstheme="minorHAnsi"/>
                <w:sz w:val="20"/>
                <w:szCs w:val="20"/>
              </w:rPr>
            </w:pPr>
            <w:hyperlink r:id="rId66" w:history="1">
              <w:r w:rsidRPr="00E4107B">
                <w:rPr>
                  <w:rStyle w:val="Hyperlink"/>
                  <w:rFonts w:cstheme="minorHAnsi"/>
                  <w:sz w:val="20"/>
                  <w:szCs w:val="20"/>
                </w:rPr>
                <w:t>Lease Accounting Policy</w:t>
              </w:r>
            </w:hyperlink>
          </w:p>
          <w:p w14:paraId="7BE6101D" w14:textId="77777777" w:rsidR="004E53FD" w:rsidRDefault="004E53FD" w:rsidP="004E53FD">
            <w:pPr>
              <w:rPr>
                <w:rFonts w:cstheme="minorHAnsi"/>
                <w:sz w:val="20"/>
                <w:szCs w:val="20"/>
              </w:rPr>
            </w:pPr>
          </w:p>
          <w:p w14:paraId="0B942F6E" w14:textId="19CDA4D7" w:rsidR="004E53FD" w:rsidRPr="00056114" w:rsidRDefault="004E53FD" w:rsidP="004E53FD">
            <w:pPr>
              <w:rPr>
                <w:rFonts w:cstheme="minorHAnsi"/>
                <w:sz w:val="20"/>
                <w:szCs w:val="20"/>
              </w:rPr>
            </w:pPr>
            <w:r>
              <w:rPr>
                <w:rFonts w:cstheme="minorHAnsi"/>
                <w:sz w:val="20"/>
                <w:szCs w:val="20"/>
              </w:rPr>
              <w:lastRenderedPageBreak/>
              <w:t>(previously Accounting for Leases)</w:t>
            </w:r>
          </w:p>
        </w:tc>
        <w:tc>
          <w:tcPr>
            <w:tcW w:w="5940" w:type="dxa"/>
            <w:shd w:val="clear" w:color="auto" w:fill="F2F2F2" w:themeFill="background1" w:themeFillShade="F2"/>
          </w:tcPr>
          <w:p w14:paraId="59C8E855" w14:textId="72C3A87E" w:rsidR="004E53FD" w:rsidRPr="00056114" w:rsidRDefault="004E53FD" w:rsidP="004E53FD">
            <w:pPr>
              <w:pStyle w:val="NoSpacing"/>
              <w:rPr>
                <w:rFonts w:cstheme="minorHAnsi"/>
                <w:sz w:val="20"/>
                <w:szCs w:val="20"/>
              </w:rPr>
            </w:pPr>
            <w:r w:rsidRPr="00056114">
              <w:rPr>
                <w:rFonts w:cstheme="minorHAnsi"/>
                <w:sz w:val="20"/>
                <w:szCs w:val="20"/>
              </w:rPr>
              <w:lastRenderedPageBreak/>
              <w:t>This policy establishes accounting treatment of lease agreements entered into by the University, both as a lessee and as a lessor. There are two types of lease classifications: capital and operating and the property lease classification is important because it determines the University’s accounting and reporting requirements.</w:t>
            </w:r>
          </w:p>
        </w:tc>
        <w:tc>
          <w:tcPr>
            <w:tcW w:w="1800" w:type="dxa"/>
            <w:shd w:val="clear" w:color="auto" w:fill="F2F2F2" w:themeFill="background1" w:themeFillShade="F2"/>
          </w:tcPr>
          <w:p w14:paraId="3DFD2874" w14:textId="5056F275" w:rsidR="004E53FD" w:rsidRPr="00056114" w:rsidRDefault="004E53FD" w:rsidP="004E53FD">
            <w:pPr>
              <w:pStyle w:val="NoSpacing"/>
              <w:rPr>
                <w:rFonts w:cstheme="minorHAnsi"/>
                <w:sz w:val="20"/>
                <w:szCs w:val="20"/>
              </w:rPr>
            </w:pPr>
            <w:r>
              <w:rPr>
                <w:sz w:val="20"/>
                <w:szCs w:val="20"/>
                <w:lang w:val="en"/>
              </w:rPr>
              <w:t>N/A</w:t>
            </w:r>
            <w:r w:rsidRPr="00056114">
              <w:rPr>
                <w:sz w:val="20"/>
                <w:szCs w:val="20"/>
                <w:lang w:val="en"/>
              </w:rPr>
              <w:t xml:space="preserve"> </w:t>
            </w:r>
          </w:p>
        </w:tc>
        <w:tc>
          <w:tcPr>
            <w:tcW w:w="1530" w:type="dxa"/>
            <w:shd w:val="clear" w:color="auto" w:fill="F2F2F2" w:themeFill="background1" w:themeFillShade="F2"/>
          </w:tcPr>
          <w:p w14:paraId="7129070F" w14:textId="77777777" w:rsidR="004E53FD" w:rsidRDefault="004E53FD" w:rsidP="004E53FD">
            <w:pPr>
              <w:pStyle w:val="NoSpacing"/>
              <w:rPr>
                <w:rFonts w:cstheme="minorHAnsi"/>
                <w:sz w:val="20"/>
                <w:szCs w:val="20"/>
              </w:rPr>
            </w:pPr>
            <w:hyperlink r:id="rId67" w:history="1">
              <w:r w:rsidRPr="005502C6">
                <w:rPr>
                  <w:rStyle w:val="Hyperlink"/>
                  <w:rFonts w:cstheme="minorHAnsi"/>
                  <w:sz w:val="20"/>
                  <w:szCs w:val="20"/>
                </w:rPr>
                <w:t>B2P</w:t>
              </w:r>
            </w:hyperlink>
          </w:p>
          <w:p w14:paraId="1FE9FC31" w14:textId="261AE752" w:rsidR="004E53FD" w:rsidRDefault="004E53FD" w:rsidP="004E53FD">
            <w:pPr>
              <w:pStyle w:val="NoSpacing"/>
              <w:rPr>
                <w:rFonts w:cstheme="minorHAnsi"/>
                <w:sz w:val="20"/>
                <w:szCs w:val="20"/>
              </w:rPr>
            </w:pPr>
          </w:p>
        </w:tc>
        <w:tc>
          <w:tcPr>
            <w:tcW w:w="1710" w:type="dxa"/>
            <w:shd w:val="clear" w:color="auto" w:fill="F2F2F2" w:themeFill="background1" w:themeFillShade="F2"/>
          </w:tcPr>
          <w:p w14:paraId="10466F6D" w14:textId="7EF1A1F1" w:rsidR="004E53FD" w:rsidRDefault="004E53FD" w:rsidP="004E53FD">
            <w:pPr>
              <w:pStyle w:val="NoSpacing"/>
              <w:rPr>
                <w:rFonts w:cstheme="minorHAnsi"/>
                <w:sz w:val="20"/>
                <w:szCs w:val="20"/>
              </w:rPr>
            </w:pPr>
            <w:r>
              <w:rPr>
                <w:rFonts w:cstheme="minorHAnsi"/>
                <w:sz w:val="20"/>
                <w:szCs w:val="20"/>
              </w:rPr>
              <w:t>Financial Accounting and Reporting</w:t>
            </w:r>
          </w:p>
        </w:tc>
        <w:tc>
          <w:tcPr>
            <w:tcW w:w="1350" w:type="dxa"/>
            <w:shd w:val="clear" w:color="auto" w:fill="F2F2F2" w:themeFill="background1" w:themeFillShade="F2"/>
          </w:tcPr>
          <w:p w14:paraId="6B9F9195" w14:textId="39C33148" w:rsidR="004E53FD" w:rsidRDefault="004E53FD" w:rsidP="004E53FD">
            <w:pPr>
              <w:pStyle w:val="NoSpacing"/>
              <w:rPr>
                <w:rFonts w:cstheme="minorHAnsi"/>
                <w:sz w:val="20"/>
                <w:szCs w:val="20"/>
              </w:rPr>
            </w:pPr>
            <w:r>
              <w:rPr>
                <w:rFonts w:cstheme="minorHAnsi"/>
                <w:sz w:val="20"/>
                <w:szCs w:val="20"/>
              </w:rPr>
              <w:t>B2P</w:t>
            </w:r>
          </w:p>
          <w:p w14:paraId="310DF9EC" w14:textId="146894EE" w:rsidR="004E53FD" w:rsidRPr="00056114" w:rsidRDefault="004E53FD" w:rsidP="004E53FD">
            <w:pPr>
              <w:pStyle w:val="NoSpacing"/>
              <w:rPr>
                <w:rFonts w:cstheme="minorHAnsi"/>
                <w:sz w:val="20"/>
                <w:szCs w:val="20"/>
              </w:rPr>
            </w:pPr>
            <w:r>
              <w:rPr>
                <w:rFonts w:cstheme="minorHAnsi"/>
                <w:sz w:val="20"/>
                <w:szCs w:val="20"/>
              </w:rPr>
              <w:t>Oracle</w:t>
            </w:r>
          </w:p>
        </w:tc>
      </w:tr>
      <w:tr w:rsidR="004E53FD" w:rsidRPr="00056114" w14:paraId="57E9FA52" w14:textId="0B5C0FDE" w:rsidTr="00B50AAC">
        <w:trPr>
          <w:cnfStyle w:val="000000010000" w:firstRow="0" w:lastRow="0" w:firstColumn="0" w:lastColumn="0" w:oddVBand="0" w:evenVBand="0" w:oddHBand="0" w:evenHBand="1" w:firstRowFirstColumn="0" w:firstRowLastColumn="0" w:lastRowFirstColumn="0" w:lastRowLastColumn="0"/>
        </w:trPr>
        <w:tc>
          <w:tcPr>
            <w:tcW w:w="1885" w:type="dxa"/>
          </w:tcPr>
          <w:p w14:paraId="1C60AFC3" w14:textId="5B0E2EB2" w:rsidR="004E53FD" w:rsidRPr="00056114" w:rsidRDefault="004E53FD" w:rsidP="004E53FD">
            <w:pPr>
              <w:rPr>
                <w:rFonts w:cstheme="minorHAnsi"/>
                <w:sz w:val="20"/>
                <w:szCs w:val="20"/>
              </w:rPr>
            </w:pPr>
            <w:hyperlink r:id="rId68" w:history="1">
              <w:r w:rsidRPr="006A3583">
                <w:rPr>
                  <w:rStyle w:val="Hyperlink"/>
                  <w:rFonts w:cstheme="minorHAnsi"/>
                  <w:sz w:val="20"/>
                  <w:szCs w:val="20"/>
                </w:rPr>
                <w:t>Petty Cash</w:t>
              </w:r>
            </w:hyperlink>
          </w:p>
        </w:tc>
        <w:tc>
          <w:tcPr>
            <w:tcW w:w="5940" w:type="dxa"/>
          </w:tcPr>
          <w:p w14:paraId="09380270" w14:textId="77777777" w:rsidR="004E53FD" w:rsidRDefault="004E53FD" w:rsidP="004E53FD">
            <w:pPr>
              <w:pStyle w:val="NoSpacing"/>
              <w:rPr>
                <w:rFonts w:eastAsia="Times New Roman" w:cstheme="minorHAnsi"/>
                <w:bCs/>
                <w:sz w:val="20"/>
                <w:szCs w:val="20"/>
              </w:rPr>
            </w:pPr>
            <w:r w:rsidRPr="00056114">
              <w:rPr>
                <w:rFonts w:eastAsia="Times New Roman" w:cstheme="minorHAnsi"/>
                <w:bCs/>
                <w:sz w:val="20"/>
                <w:szCs w:val="20"/>
              </w:rPr>
              <w:t xml:space="preserve">This policy establishes the proper uses and administration of petty cash funds. Petty cash funds provide cash to local units to cover minor expenses, such as reimbursement of staff members and visitors for small expenses such as taxi fares, postage, office supplies, human subject payments, etc. Wherever possible, local units should use other disbursement methods (i.e., </w:t>
            </w:r>
            <w:r>
              <w:rPr>
                <w:rFonts w:eastAsia="Times New Roman" w:cstheme="minorHAnsi"/>
                <w:bCs/>
                <w:sz w:val="20"/>
                <w:szCs w:val="20"/>
              </w:rPr>
              <w:t>B2P</w:t>
            </w:r>
            <w:r w:rsidRPr="00056114">
              <w:rPr>
                <w:rFonts w:eastAsia="Times New Roman" w:cstheme="minorHAnsi"/>
                <w:bCs/>
                <w:sz w:val="20"/>
                <w:szCs w:val="20"/>
              </w:rPr>
              <w:t>, PCard) instead of petty cash.</w:t>
            </w:r>
          </w:p>
          <w:p w14:paraId="6E5542A1" w14:textId="40F0EC51" w:rsidR="00E31F2F" w:rsidRPr="00056114" w:rsidRDefault="00E31F2F" w:rsidP="004E53FD">
            <w:pPr>
              <w:pStyle w:val="NoSpacing"/>
              <w:rPr>
                <w:rFonts w:eastAsia="Times New Roman" w:cstheme="minorHAnsi"/>
                <w:bCs/>
                <w:sz w:val="20"/>
                <w:szCs w:val="20"/>
              </w:rPr>
            </w:pPr>
          </w:p>
        </w:tc>
        <w:tc>
          <w:tcPr>
            <w:tcW w:w="1800" w:type="dxa"/>
          </w:tcPr>
          <w:p w14:paraId="7F16895F" w14:textId="77777777" w:rsidR="004E53FD" w:rsidRDefault="004E53FD" w:rsidP="004E53FD">
            <w:pPr>
              <w:pStyle w:val="NoSpacing"/>
              <w:rPr>
                <w:rFonts w:cstheme="minorHAnsi"/>
                <w:sz w:val="20"/>
                <w:szCs w:val="20"/>
              </w:rPr>
            </w:pPr>
            <w:r>
              <w:rPr>
                <w:rFonts w:cstheme="minorHAnsi"/>
                <w:sz w:val="20"/>
                <w:szCs w:val="20"/>
              </w:rPr>
              <w:t>N/A</w:t>
            </w:r>
          </w:p>
          <w:p w14:paraId="0F1BBEEF" w14:textId="77777777" w:rsidR="004E53FD" w:rsidRPr="00056114" w:rsidRDefault="004E53FD" w:rsidP="004E53FD">
            <w:pPr>
              <w:pStyle w:val="NoSpacing"/>
              <w:rPr>
                <w:rFonts w:eastAsia="Times New Roman" w:cstheme="minorHAnsi"/>
                <w:bCs/>
                <w:sz w:val="20"/>
                <w:szCs w:val="20"/>
              </w:rPr>
            </w:pPr>
          </w:p>
        </w:tc>
        <w:tc>
          <w:tcPr>
            <w:tcW w:w="1530" w:type="dxa"/>
          </w:tcPr>
          <w:p w14:paraId="152D78C4" w14:textId="77777777" w:rsidR="004E53FD" w:rsidRDefault="004E53FD" w:rsidP="004E53FD">
            <w:pPr>
              <w:pStyle w:val="NoSpacing"/>
              <w:rPr>
                <w:rFonts w:cstheme="minorHAnsi"/>
                <w:sz w:val="20"/>
                <w:szCs w:val="20"/>
              </w:rPr>
            </w:pPr>
            <w:hyperlink r:id="rId69" w:history="1">
              <w:r w:rsidRPr="005502C6">
                <w:rPr>
                  <w:rStyle w:val="Hyperlink"/>
                  <w:rFonts w:cstheme="minorHAnsi"/>
                  <w:sz w:val="20"/>
                  <w:szCs w:val="20"/>
                </w:rPr>
                <w:t>B2P</w:t>
              </w:r>
            </w:hyperlink>
          </w:p>
          <w:p w14:paraId="10D6FAAF" w14:textId="1E37207C" w:rsidR="004E53FD" w:rsidRDefault="004E53FD" w:rsidP="004E53FD">
            <w:pPr>
              <w:pStyle w:val="NoSpacing"/>
              <w:rPr>
                <w:rFonts w:cstheme="minorHAnsi"/>
                <w:sz w:val="20"/>
                <w:szCs w:val="20"/>
              </w:rPr>
            </w:pPr>
          </w:p>
        </w:tc>
        <w:tc>
          <w:tcPr>
            <w:tcW w:w="1710" w:type="dxa"/>
          </w:tcPr>
          <w:p w14:paraId="3D7B7D22" w14:textId="680528CE" w:rsidR="004E53FD" w:rsidRDefault="004E53FD" w:rsidP="004E53FD">
            <w:pPr>
              <w:pStyle w:val="NoSpacing"/>
              <w:rPr>
                <w:rFonts w:cstheme="minorHAnsi"/>
                <w:sz w:val="20"/>
                <w:szCs w:val="20"/>
              </w:rPr>
            </w:pPr>
            <w:r>
              <w:rPr>
                <w:rFonts w:cstheme="minorHAnsi"/>
                <w:sz w:val="20"/>
                <w:szCs w:val="20"/>
              </w:rPr>
              <w:t>Accounts Payable</w:t>
            </w:r>
          </w:p>
        </w:tc>
        <w:tc>
          <w:tcPr>
            <w:tcW w:w="1350" w:type="dxa"/>
          </w:tcPr>
          <w:p w14:paraId="5288F37F" w14:textId="00BF1454" w:rsidR="004E53FD" w:rsidRDefault="004E53FD" w:rsidP="004E53FD">
            <w:pPr>
              <w:pStyle w:val="NoSpacing"/>
              <w:rPr>
                <w:rFonts w:cstheme="minorHAnsi"/>
                <w:sz w:val="20"/>
                <w:szCs w:val="20"/>
              </w:rPr>
            </w:pPr>
            <w:r>
              <w:rPr>
                <w:rFonts w:cstheme="minorHAnsi"/>
                <w:sz w:val="20"/>
                <w:szCs w:val="20"/>
              </w:rPr>
              <w:t>B2P</w:t>
            </w:r>
          </w:p>
          <w:p w14:paraId="6AF21EC8" w14:textId="77777777" w:rsidR="004E53FD" w:rsidRPr="00056114" w:rsidRDefault="004E53FD" w:rsidP="004E53FD">
            <w:pPr>
              <w:rPr>
                <w:rFonts w:cstheme="minorHAnsi"/>
                <w:b/>
                <w:sz w:val="20"/>
                <w:szCs w:val="20"/>
              </w:rPr>
            </w:pPr>
            <w:r w:rsidRPr="00056114">
              <w:rPr>
                <w:rFonts w:cstheme="minorHAnsi"/>
                <w:sz w:val="20"/>
                <w:szCs w:val="20"/>
              </w:rPr>
              <w:t>Oracle</w:t>
            </w:r>
          </w:p>
          <w:p w14:paraId="65D95F95" w14:textId="77777777" w:rsidR="004E53FD" w:rsidRPr="00056114" w:rsidRDefault="004E53FD" w:rsidP="004E53FD">
            <w:pPr>
              <w:pStyle w:val="NoSpacing"/>
              <w:rPr>
                <w:rFonts w:eastAsia="Times New Roman" w:cstheme="minorHAnsi"/>
                <w:bCs/>
                <w:sz w:val="20"/>
                <w:szCs w:val="20"/>
              </w:rPr>
            </w:pPr>
          </w:p>
        </w:tc>
      </w:tr>
      <w:tr w:rsidR="004E53FD" w:rsidRPr="00056114" w14:paraId="6F1479D7" w14:textId="7E9513FF" w:rsidTr="00CA2CD2">
        <w:tc>
          <w:tcPr>
            <w:tcW w:w="1885" w:type="dxa"/>
            <w:shd w:val="clear" w:color="auto" w:fill="F2F2F2" w:themeFill="background1" w:themeFillShade="F2"/>
          </w:tcPr>
          <w:p w14:paraId="5ADBD7F6" w14:textId="0FDC2D0C" w:rsidR="004E53FD" w:rsidRPr="00840D37" w:rsidRDefault="004E53FD" w:rsidP="004E53FD">
            <w:pPr>
              <w:rPr>
                <w:rFonts w:cstheme="minorHAnsi"/>
                <w:sz w:val="20"/>
                <w:szCs w:val="20"/>
              </w:rPr>
            </w:pPr>
            <w:hyperlink r:id="rId70" w:history="1">
              <w:r w:rsidRPr="006A3583">
                <w:rPr>
                  <w:rStyle w:val="Hyperlink"/>
                  <w:rFonts w:cstheme="minorHAnsi"/>
                  <w:sz w:val="20"/>
                  <w:szCs w:val="20"/>
                </w:rPr>
                <w:t>Procurement</w:t>
              </w:r>
            </w:hyperlink>
          </w:p>
        </w:tc>
        <w:tc>
          <w:tcPr>
            <w:tcW w:w="5940" w:type="dxa"/>
            <w:shd w:val="clear" w:color="auto" w:fill="F2F2F2" w:themeFill="background1" w:themeFillShade="F2"/>
          </w:tcPr>
          <w:p w14:paraId="75DDC8F7" w14:textId="77777777" w:rsidR="004E53FD" w:rsidRDefault="004E53FD" w:rsidP="004E53FD">
            <w:pPr>
              <w:pStyle w:val="NoSpacing"/>
              <w:rPr>
                <w:sz w:val="20"/>
                <w:szCs w:val="20"/>
              </w:rPr>
            </w:pPr>
            <w:r w:rsidRPr="00840D37">
              <w:rPr>
                <w:rFonts w:cstheme="minorHAnsi"/>
                <w:sz w:val="20"/>
                <w:szCs w:val="20"/>
              </w:rPr>
              <w:t>Harvard University requires faculty, staff, researchers, students, or other individuals who plan for or purchase products, equipment, supplies, and services with University funds</w:t>
            </w:r>
            <w:r>
              <w:rPr>
                <w:rFonts w:cstheme="minorHAnsi"/>
                <w:sz w:val="20"/>
                <w:szCs w:val="20"/>
              </w:rPr>
              <w:t xml:space="preserve"> to</w:t>
            </w:r>
            <w:r w:rsidRPr="00840D37">
              <w:rPr>
                <w:rFonts w:cstheme="minorHAnsi"/>
                <w:sz w:val="20"/>
                <w:szCs w:val="20"/>
              </w:rPr>
              <w:t xml:space="preserve"> base purchases on sound business practice, best value, accountability, and compliance with donor, sponsor, and regulatory requirements. Individuals planning for or making purchases must follow this and other established </w:t>
            </w:r>
            <w:r w:rsidRPr="00840D37">
              <w:rPr>
                <w:sz w:val="20"/>
                <w:szCs w:val="20"/>
              </w:rPr>
              <w:t>Harvard University policies and procedures.</w:t>
            </w:r>
          </w:p>
          <w:p w14:paraId="3EF8EFCE" w14:textId="7C54667A" w:rsidR="00C959A6" w:rsidRPr="00056114" w:rsidRDefault="00C959A6" w:rsidP="004E53FD">
            <w:pPr>
              <w:pStyle w:val="NoSpacing"/>
              <w:rPr>
                <w:rFonts w:cstheme="minorHAnsi"/>
                <w:sz w:val="20"/>
                <w:szCs w:val="20"/>
              </w:rPr>
            </w:pPr>
          </w:p>
        </w:tc>
        <w:tc>
          <w:tcPr>
            <w:tcW w:w="1800" w:type="dxa"/>
            <w:shd w:val="clear" w:color="auto" w:fill="F2F2F2" w:themeFill="background1" w:themeFillShade="F2"/>
          </w:tcPr>
          <w:p w14:paraId="484E4073" w14:textId="67683EC3" w:rsidR="004E53FD" w:rsidRPr="00840D37" w:rsidRDefault="004E53FD" w:rsidP="004E53FD">
            <w:pPr>
              <w:pStyle w:val="NoSpacing"/>
              <w:rPr>
                <w:rFonts w:cstheme="minorHAnsi"/>
                <w:sz w:val="20"/>
                <w:szCs w:val="20"/>
              </w:rPr>
            </w:pPr>
            <w:hyperlink r:id="rId71" w:history="1">
              <w:r w:rsidRPr="000C0BE3">
                <w:rPr>
                  <w:rStyle w:val="Hyperlink"/>
                  <w:sz w:val="20"/>
                  <w:szCs w:val="20"/>
                  <w:lang w:val="en"/>
                </w:rPr>
                <w:t>Buy-to-Pay(B2P)</w:t>
              </w:r>
            </w:hyperlink>
            <w:r>
              <w:rPr>
                <w:sz w:val="20"/>
                <w:szCs w:val="20"/>
                <w:lang w:val="en"/>
              </w:rPr>
              <w:t xml:space="preserve"> </w:t>
            </w:r>
          </w:p>
        </w:tc>
        <w:tc>
          <w:tcPr>
            <w:tcW w:w="1530" w:type="dxa"/>
            <w:shd w:val="clear" w:color="auto" w:fill="F2F2F2" w:themeFill="background1" w:themeFillShade="F2"/>
          </w:tcPr>
          <w:p w14:paraId="2A8BDA12" w14:textId="77777777" w:rsidR="00B2192E" w:rsidRDefault="00B2192E" w:rsidP="00B2192E">
            <w:pPr>
              <w:pStyle w:val="NoSpacing"/>
              <w:spacing w:after="120"/>
              <w:rPr>
                <w:rFonts w:cstheme="minorHAnsi"/>
                <w:sz w:val="20"/>
                <w:szCs w:val="20"/>
              </w:rPr>
            </w:pPr>
            <w:hyperlink r:id="rId72" w:history="1">
              <w:r w:rsidRPr="005502C6">
                <w:rPr>
                  <w:rStyle w:val="Hyperlink"/>
                  <w:rFonts w:cstheme="minorHAnsi"/>
                  <w:sz w:val="20"/>
                  <w:szCs w:val="20"/>
                </w:rPr>
                <w:t>B2P</w:t>
              </w:r>
            </w:hyperlink>
          </w:p>
          <w:p w14:paraId="5239ABB8" w14:textId="77777777" w:rsidR="00B2192E" w:rsidRDefault="00B2192E" w:rsidP="00B2192E">
            <w:pPr>
              <w:pStyle w:val="NoSpacing"/>
              <w:spacing w:after="120"/>
              <w:rPr>
                <w:rFonts w:cstheme="minorHAnsi"/>
                <w:sz w:val="20"/>
                <w:szCs w:val="20"/>
              </w:rPr>
            </w:pPr>
            <w:hyperlink r:id="rId73" w:history="1">
              <w:r w:rsidRPr="009E1D08">
                <w:rPr>
                  <w:rStyle w:val="Hyperlink"/>
                  <w:rFonts w:cstheme="minorHAnsi"/>
                  <w:sz w:val="20"/>
                  <w:szCs w:val="20"/>
                </w:rPr>
                <w:t>Concur</w:t>
              </w:r>
            </w:hyperlink>
          </w:p>
          <w:p w14:paraId="3040A298" w14:textId="488E7ACA" w:rsidR="004E53FD" w:rsidRDefault="004E53FD" w:rsidP="004E53FD">
            <w:pPr>
              <w:pStyle w:val="NoSpacing"/>
              <w:rPr>
                <w:rFonts w:cstheme="minorHAnsi"/>
                <w:sz w:val="20"/>
                <w:szCs w:val="20"/>
              </w:rPr>
            </w:pPr>
          </w:p>
          <w:p w14:paraId="41D175BB" w14:textId="61BD5528" w:rsidR="004E53FD" w:rsidRDefault="004E53FD" w:rsidP="004E53FD">
            <w:pPr>
              <w:pStyle w:val="NoSpacing"/>
              <w:rPr>
                <w:rFonts w:cstheme="minorHAnsi"/>
                <w:sz w:val="20"/>
                <w:szCs w:val="20"/>
              </w:rPr>
            </w:pPr>
          </w:p>
        </w:tc>
        <w:tc>
          <w:tcPr>
            <w:tcW w:w="1710" w:type="dxa"/>
            <w:shd w:val="clear" w:color="auto" w:fill="F2F2F2" w:themeFill="background1" w:themeFillShade="F2"/>
          </w:tcPr>
          <w:p w14:paraId="2BCC6C50" w14:textId="7F9608D1" w:rsidR="004E53FD" w:rsidRDefault="004E53FD" w:rsidP="004E53FD">
            <w:pPr>
              <w:pStyle w:val="NoSpacing"/>
              <w:rPr>
                <w:rFonts w:cstheme="minorHAnsi"/>
                <w:sz w:val="20"/>
                <w:szCs w:val="20"/>
              </w:rPr>
            </w:pPr>
            <w:r>
              <w:rPr>
                <w:rFonts w:cstheme="minorHAnsi"/>
                <w:sz w:val="20"/>
                <w:szCs w:val="20"/>
              </w:rPr>
              <w:t>Strategic Procurement</w:t>
            </w:r>
          </w:p>
        </w:tc>
        <w:tc>
          <w:tcPr>
            <w:tcW w:w="1350" w:type="dxa"/>
            <w:shd w:val="clear" w:color="auto" w:fill="F2F2F2" w:themeFill="background1" w:themeFillShade="F2"/>
          </w:tcPr>
          <w:p w14:paraId="44ADE16D" w14:textId="1C84C027" w:rsidR="004E53FD" w:rsidRDefault="004E53FD" w:rsidP="004E53FD">
            <w:pPr>
              <w:pStyle w:val="NoSpacing"/>
              <w:rPr>
                <w:rFonts w:cstheme="minorHAnsi"/>
                <w:sz w:val="20"/>
                <w:szCs w:val="20"/>
              </w:rPr>
            </w:pPr>
            <w:r>
              <w:rPr>
                <w:rFonts w:cstheme="minorHAnsi"/>
                <w:sz w:val="20"/>
                <w:szCs w:val="20"/>
              </w:rPr>
              <w:t>B2P</w:t>
            </w:r>
          </w:p>
          <w:p w14:paraId="5DADFB0C" w14:textId="77777777" w:rsidR="004E53FD" w:rsidRDefault="004E53FD" w:rsidP="004E53FD">
            <w:pPr>
              <w:pStyle w:val="NoSpacing"/>
              <w:rPr>
                <w:rFonts w:cstheme="minorHAnsi"/>
                <w:sz w:val="20"/>
                <w:szCs w:val="20"/>
              </w:rPr>
            </w:pPr>
            <w:r>
              <w:rPr>
                <w:rFonts w:cstheme="minorHAnsi"/>
                <w:sz w:val="20"/>
                <w:szCs w:val="20"/>
              </w:rPr>
              <w:t>Concur</w:t>
            </w:r>
          </w:p>
          <w:p w14:paraId="7684DD23" w14:textId="77777777" w:rsidR="004E53FD" w:rsidRPr="00056114" w:rsidRDefault="004E53FD" w:rsidP="004E53FD">
            <w:pPr>
              <w:rPr>
                <w:rFonts w:cstheme="minorHAnsi"/>
                <w:b/>
                <w:sz w:val="20"/>
                <w:szCs w:val="20"/>
              </w:rPr>
            </w:pPr>
            <w:r w:rsidRPr="00056114">
              <w:rPr>
                <w:rFonts w:cstheme="minorHAnsi"/>
                <w:sz w:val="20"/>
                <w:szCs w:val="20"/>
              </w:rPr>
              <w:t>Oracle</w:t>
            </w:r>
          </w:p>
          <w:p w14:paraId="382D1500" w14:textId="77777777" w:rsidR="004E53FD" w:rsidRPr="00840D37" w:rsidRDefault="004E53FD" w:rsidP="004E53FD">
            <w:pPr>
              <w:pStyle w:val="NoSpacing"/>
              <w:rPr>
                <w:rFonts w:cstheme="minorHAnsi"/>
                <w:sz w:val="20"/>
                <w:szCs w:val="20"/>
              </w:rPr>
            </w:pPr>
          </w:p>
        </w:tc>
      </w:tr>
      <w:tr w:rsidR="004E53FD" w:rsidRPr="00056114" w14:paraId="31B23113" w14:textId="43AD3AC4" w:rsidTr="00B50AAC">
        <w:trPr>
          <w:cnfStyle w:val="000000010000" w:firstRow="0" w:lastRow="0" w:firstColumn="0" w:lastColumn="0" w:oddVBand="0" w:evenVBand="0" w:oddHBand="0" w:evenHBand="1" w:firstRowFirstColumn="0" w:firstRowLastColumn="0" w:lastRowFirstColumn="0" w:lastRowLastColumn="0"/>
        </w:trPr>
        <w:tc>
          <w:tcPr>
            <w:tcW w:w="1885" w:type="dxa"/>
          </w:tcPr>
          <w:p w14:paraId="2879FB21" w14:textId="4B8081BA" w:rsidR="004E53FD" w:rsidRDefault="004E53FD" w:rsidP="004E53FD">
            <w:pPr>
              <w:rPr>
                <w:rFonts w:cstheme="minorHAnsi"/>
                <w:sz w:val="20"/>
                <w:szCs w:val="20"/>
              </w:rPr>
            </w:pPr>
            <w:hyperlink r:id="rId74" w:history="1">
              <w:r w:rsidRPr="002D5F2F">
                <w:rPr>
                  <w:rStyle w:val="Hyperlink"/>
                  <w:rFonts w:cstheme="minorHAnsi"/>
                  <w:sz w:val="20"/>
                  <w:szCs w:val="20"/>
                </w:rPr>
                <w:t>Purchasing Card (PCard)</w:t>
              </w:r>
            </w:hyperlink>
          </w:p>
          <w:p w14:paraId="2E593A05" w14:textId="77777777" w:rsidR="004E53FD" w:rsidRDefault="004E53FD" w:rsidP="004E53FD">
            <w:pPr>
              <w:rPr>
                <w:rFonts w:cstheme="minorHAnsi"/>
                <w:sz w:val="20"/>
                <w:szCs w:val="20"/>
              </w:rPr>
            </w:pPr>
          </w:p>
          <w:p w14:paraId="463501EB" w14:textId="39EC7809" w:rsidR="004E53FD" w:rsidRPr="00056114" w:rsidRDefault="004E53FD" w:rsidP="004E53FD">
            <w:pPr>
              <w:rPr>
                <w:rFonts w:cstheme="minorHAnsi"/>
                <w:sz w:val="20"/>
                <w:szCs w:val="20"/>
              </w:rPr>
            </w:pPr>
          </w:p>
        </w:tc>
        <w:tc>
          <w:tcPr>
            <w:tcW w:w="5940" w:type="dxa"/>
          </w:tcPr>
          <w:p w14:paraId="363D603B" w14:textId="7DFFBCCA" w:rsidR="004E53FD" w:rsidRDefault="004E53FD" w:rsidP="004E53FD">
            <w:pPr>
              <w:pStyle w:val="NoSpacing"/>
              <w:rPr>
                <w:rFonts w:cstheme="minorHAnsi"/>
                <w:sz w:val="20"/>
                <w:szCs w:val="20"/>
              </w:rPr>
            </w:pPr>
            <w:r w:rsidRPr="00DD6A47">
              <w:rPr>
                <w:rFonts w:cstheme="minorHAnsi"/>
                <w:sz w:val="20"/>
                <w:szCs w:val="20"/>
              </w:rPr>
              <w:t>Note: Effective 01/01/2024</w:t>
            </w:r>
            <w:r>
              <w:rPr>
                <w:rFonts w:cstheme="minorHAnsi"/>
                <w:sz w:val="20"/>
                <w:szCs w:val="20"/>
              </w:rPr>
              <w:t>,</w:t>
            </w:r>
            <w:r w:rsidRPr="00DD6A47">
              <w:rPr>
                <w:rFonts w:cstheme="minorHAnsi"/>
                <w:sz w:val="20"/>
                <w:szCs w:val="20"/>
              </w:rPr>
              <w:t xml:space="preserve"> the PCard Policy has been replaced with the </w:t>
            </w:r>
            <w:hyperlink r:id="rId75" w:history="1">
              <w:r w:rsidRPr="00466DFD">
                <w:rPr>
                  <w:rStyle w:val="Hyperlink"/>
                  <w:rFonts w:cstheme="minorHAnsi"/>
                  <w:sz w:val="20"/>
                  <w:szCs w:val="20"/>
                </w:rPr>
                <w:t>University-Issued Card Policy</w:t>
              </w:r>
            </w:hyperlink>
            <w:r w:rsidRPr="00DD6A47">
              <w:rPr>
                <w:rFonts w:cstheme="minorHAnsi"/>
                <w:sz w:val="20"/>
                <w:szCs w:val="20"/>
              </w:rPr>
              <w:t xml:space="preserve">. </w:t>
            </w:r>
          </w:p>
          <w:p w14:paraId="4DA8D99A" w14:textId="77777777" w:rsidR="004E53FD" w:rsidRDefault="004E53FD" w:rsidP="004E53FD">
            <w:pPr>
              <w:pStyle w:val="NoSpacing"/>
              <w:rPr>
                <w:rFonts w:cstheme="minorHAnsi"/>
                <w:sz w:val="20"/>
                <w:szCs w:val="20"/>
              </w:rPr>
            </w:pPr>
          </w:p>
          <w:p w14:paraId="2C66A91C" w14:textId="326A7048" w:rsidR="004E53FD" w:rsidRDefault="004E53FD" w:rsidP="004E53FD">
            <w:pPr>
              <w:pStyle w:val="NoSpacing"/>
              <w:rPr>
                <w:rFonts w:cstheme="minorHAnsi"/>
                <w:sz w:val="20"/>
                <w:szCs w:val="20"/>
              </w:rPr>
            </w:pPr>
            <w:r>
              <w:rPr>
                <w:rFonts w:cstheme="minorHAnsi"/>
                <w:sz w:val="20"/>
                <w:szCs w:val="20"/>
              </w:rPr>
              <w:t xml:space="preserve">Visit the </w:t>
            </w:r>
            <w:hyperlink r:id="rId76" w:history="1">
              <w:r w:rsidRPr="00C52575">
                <w:rPr>
                  <w:rStyle w:val="Hyperlink"/>
                  <w:rFonts w:cstheme="minorHAnsi"/>
                  <w:sz w:val="20"/>
                  <w:szCs w:val="20"/>
                </w:rPr>
                <w:t>Concur PCard Training</w:t>
              </w:r>
            </w:hyperlink>
            <w:r>
              <w:rPr>
                <w:rFonts w:cstheme="minorHAnsi"/>
                <w:sz w:val="20"/>
                <w:szCs w:val="20"/>
              </w:rPr>
              <w:t xml:space="preserve"> page for additional guidance and materials.</w:t>
            </w:r>
          </w:p>
          <w:p w14:paraId="1BFC1B5B" w14:textId="195C6EE1" w:rsidR="004E53FD" w:rsidRPr="00056114" w:rsidRDefault="004E53FD" w:rsidP="004E53FD">
            <w:pPr>
              <w:pStyle w:val="NoSpacing"/>
              <w:rPr>
                <w:rFonts w:cstheme="minorHAnsi"/>
                <w:sz w:val="20"/>
                <w:szCs w:val="20"/>
              </w:rPr>
            </w:pPr>
          </w:p>
        </w:tc>
        <w:tc>
          <w:tcPr>
            <w:tcW w:w="1800" w:type="dxa"/>
          </w:tcPr>
          <w:p w14:paraId="208F6975" w14:textId="77777777" w:rsidR="004E53FD" w:rsidRDefault="004E53FD" w:rsidP="004E53FD">
            <w:pPr>
              <w:pStyle w:val="NoSpacing"/>
              <w:rPr>
                <w:rFonts w:cstheme="minorHAnsi"/>
                <w:sz w:val="20"/>
                <w:szCs w:val="20"/>
              </w:rPr>
            </w:pPr>
            <w:r>
              <w:rPr>
                <w:rFonts w:cstheme="minorHAnsi"/>
                <w:sz w:val="20"/>
                <w:szCs w:val="20"/>
              </w:rPr>
              <w:t>N/A</w:t>
            </w:r>
          </w:p>
          <w:p w14:paraId="26AB97FC" w14:textId="77777777" w:rsidR="004E53FD" w:rsidRPr="00166AD2" w:rsidRDefault="004E53FD" w:rsidP="004E53FD">
            <w:pPr>
              <w:pStyle w:val="NoSpacing"/>
              <w:rPr>
                <w:shd w:val="clear" w:color="auto" w:fill="FFFFFF" w:themeFill="background1"/>
              </w:rPr>
            </w:pPr>
          </w:p>
        </w:tc>
        <w:tc>
          <w:tcPr>
            <w:tcW w:w="1530" w:type="dxa"/>
          </w:tcPr>
          <w:p w14:paraId="2AA4CF05" w14:textId="4C1F6563" w:rsidR="004E53FD" w:rsidRDefault="004E53FD" w:rsidP="009B3E14">
            <w:pPr>
              <w:pStyle w:val="NoSpacing"/>
              <w:spacing w:after="120"/>
              <w:rPr>
                <w:rFonts w:cstheme="minorHAnsi"/>
                <w:sz w:val="20"/>
                <w:szCs w:val="20"/>
              </w:rPr>
            </w:pPr>
            <w:hyperlink r:id="rId77" w:history="1">
              <w:r w:rsidRPr="009E1D08">
                <w:rPr>
                  <w:rStyle w:val="Hyperlink"/>
                  <w:rFonts w:cstheme="minorHAnsi"/>
                  <w:sz w:val="20"/>
                  <w:szCs w:val="20"/>
                </w:rPr>
                <w:t>Concur</w:t>
              </w:r>
            </w:hyperlink>
          </w:p>
          <w:p w14:paraId="494D614F" w14:textId="6BD38B8D" w:rsidR="004E53FD" w:rsidRPr="00166AD2" w:rsidRDefault="004E53FD" w:rsidP="009B3E14">
            <w:pPr>
              <w:pStyle w:val="NoSpacing"/>
              <w:spacing w:after="120"/>
              <w:rPr>
                <w:shd w:val="clear" w:color="auto" w:fill="FFFFFF" w:themeFill="background1"/>
              </w:rPr>
            </w:pPr>
            <w:hyperlink r:id="rId78" w:history="1">
              <w:r w:rsidRPr="003B0557">
                <w:rPr>
                  <w:rStyle w:val="Hyperlink"/>
                  <w:rFonts w:cstheme="minorHAnsi"/>
                  <w:sz w:val="20"/>
                  <w:szCs w:val="20"/>
                </w:rPr>
                <w:t>Processing</w:t>
              </w:r>
            </w:hyperlink>
          </w:p>
        </w:tc>
        <w:tc>
          <w:tcPr>
            <w:tcW w:w="1710" w:type="dxa"/>
          </w:tcPr>
          <w:p w14:paraId="1D9C404A" w14:textId="3A46AC46" w:rsidR="004E53FD" w:rsidRPr="00166AD2" w:rsidRDefault="004E53FD" w:rsidP="004E53FD">
            <w:pPr>
              <w:pStyle w:val="NoSpacing"/>
              <w:rPr>
                <w:shd w:val="clear" w:color="auto" w:fill="FFFFFF" w:themeFill="background1"/>
              </w:rPr>
            </w:pPr>
            <w:r>
              <w:rPr>
                <w:sz w:val="20"/>
                <w:szCs w:val="20"/>
                <w:lang w:val="en"/>
              </w:rPr>
              <w:t xml:space="preserve"> Card Services</w:t>
            </w:r>
          </w:p>
        </w:tc>
        <w:tc>
          <w:tcPr>
            <w:tcW w:w="1350" w:type="dxa"/>
          </w:tcPr>
          <w:p w14:paraId="5D39A9DD" w14:textId="77777777" w:rsidR="004E53FD" w:rsidRDefault="004E53FD" w:rsidP="004E53FD">
            <w:pPr>
              <w:pStyle w:val="NoSpacing"/>
              <w:rPr>
                <w:rFonts w:cstheme="minorHAnsi"/>
                <w:sz w:val="20"/>
                <w:szCs w:val="20"/>
              </w:rPr>
            </w:pPr>
            <w:r>
              <w:rPr>
                <w:rFonts w:cstheme="minorHAnsi"/>
                <w:sz w:val="20"/>
                <w:szCs w:val="20"/>
              </w:rPr>
              <w:t>Concur</w:t>
            </w:r>
          </w:p>
          <w:p w14:paraId="67B436E2" w14:textId="42B1DD1A" w:rsidR="004E53FD" w:rsidRPr="00166AD2" w:rsidRDefault="004E53FD" w:rsidP="004E53FD">
            <w:pPr>
              <w:pStyle w:val="NoSpacing"/>
              <w:rPr>
                <w:shd w:val="clear" w:color="auto" w:fill="FFFFFF" w:themeFill="background1"/>
              </w:rPr>
            </w:pPr>
          </w:p>
        </w:tc>
      </w:tr>
      <w:tr w:rsidR="004E53FD" w:rsidRPr="00056114" w14:paraId="53CE3E80" w14:textId="1E340446" w:rsidTr="00CA2CD2">
        <w:tc>
          <w:tcPr>
            <w:tcW w:w="1885" w:type="dxa"/>
            <w:shd w:val="clear" w:color="auto" w:fill="F2F2F2" w:themeFill="background1" w:themeFillShade="F2"/>
          </w:tcPr>
          <w:p w14:paraId="1C117687" w14:textId="75190B55" w:rsidR="004E53FD" w:rsidRPr="00056114" w:rsidRDefault="004E53FD" w:rsidP="004E53FD">
            <w:pPr>
              <w:rPr>
                <w:rFonts w:cstheme="minorHAnsi"/>
                <w:sz w:val="20"/>
                <w:szCs w:val="20"/>
              </w:rPr>
            </w:pPr>
            <w:hyperlink r:id="rId79" w:history="1">
              <w:r w:rsidRPr="00F15F7C">
                <w:rPr>
                  <w:rStyle w:val="Hyperlink"/>
                  <w:rFonts w:cstheme="minorHAnsi"/>
                  <w:sz w:val="20"/>
                  <w:szCs w:val="20"/>
                </w:rPr>
                <w:t>Reserves for Bad Debt</w:t>
              </w:r>
            </w:hyperlink>
          </w:p>
        </w:tc>
        <w:tc>
          <w:tcPr>
            <w:tcW w:w="5940" w:type="dxa"/>
            <w:shd w:val="clear" w:color="auto" w:fill="F2F2F2" w:themeFill="background1" w:themeFillShade="F2"/>
          </w:tcPr>
          <w:p w14:paraId="64FCDD9A" w14:textId="0F5522DF" w:rsidR="004E53FD" w:rsidRPr="00056114" w:rsidRDefault="004E53FD" w:rsidP="004E53FD">
            <w:pPr>
              <w:pStyle w:val="NoSpacing"/>
              <w:rPr>
                <w:rFonts w:cstheme="minorHAnsi"/>
                <w:sz w:val="20"/>
                <w:szCs w:val="20"/>
              </w:rPr>
            </w:pPr>
            <w:r w:rsidRPr="00056114">
              <w:rPr>
                <w:rFonts w:cstheme="minorHAnsi"/>
                <w:sz w:val="20"/>
                <w:szCs w:val="20"/>
              </w:rPr>
              <w:t xml:space="preserve">This policy establishes how reserves for bad debt and write-offs are recorded at the University. </w:t>
            </w:r>
          </w:p>
        </w:tc>
        <w:tc>
          <w:tcPr>
            <w:tcW w:w="1800" w:type="dxa"/>
            <w:shd w:val="clear" w:color="auto" w:fill="F2F2F2" w:themeFill="background1" w:themeFillShade="F2"/>
          </w:tcPr>
          <w:p w14:paraId="40A5EF0B" w14:textId="3AE4B689" w:rsidR="004E53FD" w:rsidRPr="00056114" w:rsidRDefault="004E53FD" w:rsidP="004E53FD">
            <w:pPr>
              <w:pStyle w:val="NoSpacing"/>
              <w:rPr>
                <w:rFonts w:cstheme="minorHAnsi"/>
                <w:sz w:val="20"/>
                <w:szCs w:val="20"/>
              </w:rPr>
            </w:pPr>
            <w:r>
              <w:rPr>
                <w:sz w:val="20"/>
                <w:szCs w:val="20"/>
                <w:lang w:val="en"/>
              </w:rPr>
              <w:t>N/A</w:t>
            </w:r>
            <w:r w:rsidRPr="00056114">
              <w:rPr>
                <w:sz w:val="20"/>
                <w:szCs w:val="20"/>
                <w:lang w:val="en"/>
              </w:rPr>
              <w:t xml:space="preserve"> </w:t>
            </w:r>
          </w:p>
        </w:tc>
        <w:tc>
          <w:tcPr>
            <w:tcW w:w="1530" w:type="dxa"/>
            <w:shd w:val="clear" w:color="auto" w:fill="F2F2F2" w:themeFill="background1" w:themeFillShade="F2"/>
          </w:tcPr>
          <w:p w14:paraId="642EA8E1" w14:textId="1B9245AC" w:rsidR="004E53FD" w:rsidRPr="00311F46" w:rsidRDefault="004E53FD" w:rsidP="004E53FD">
            <w:pPr>
              <w:pStyle w:val="NoSpacing"/>
              <w:rPr>
                <w:rFonts w:cstheme="minorHAnsi"/>
                <w:sz w:val="20"/>
                <w:szCs w:val="20"/>
              </w:rPr>
            </w:pPr>
            <w:r>
              <w:rPr>
                <w:sz w:val="20"/>
                <w:szCs w:val="20"/>
                <w:lang w:val="en"/>
              </w:rPr>
              <w:t>N/A</w:t>
            </w:r>
            <w:r w:rsidRPr="00056114">
              <w:rPr>
                <w:sz w:val="20"/>
                <w:szCs w:val="20"/>
                <w:lang w:val="en"/>
              </w:rPr>
              <w:t xml:space="preserve"> </w:t>
            </w:r>
          </w:p>
        </w:tc>
        <w:tc>
          <w:tcPr>
            <w:tcW w:w="1710" w:type="dxa"/>
            <w:shd w:val="clear" w:color="auto" w:fill="F2F2F2" w:themeFill="background1" w:themeFillShade="F2"/>
          </w:tcPr>
          <w:p w14:paraId="223A3F41" w14:textId="2CA5F977" w:rsidR="004E53FD" w:rsidRPr="00311F46" w:rsidRDefault="004E53FD" w:rsidP="004E53FD">
            <w:pPr>
              <w:pStyle w:val="NoSpacing"/>
              <w:rPr>
                <w:rFonts w:cstheme="minorHAnsi"/>
                <w:sz w:val="20"/>
                <w:szCs w:val="20"/>
              </w:rPr>
            </w:pPr>
            <w:r>
              <w:rPr>
                <w:rFonts w:cstheme="minorHAnsi"/>
                <w:sz w:val="20"/>
                <w:szCs w:val="20"/>
              </w:rPr>
              <w:t>Financial Accounting and Reporting</w:t>
            </w:r>
          </w:p>
        </w:tc>
        <w:tc>
          <w:tcPr>
            <w:tcW w:w="1350" w:type="dxa"/>
            <w:shd w:val="clear" w:color="auto" w:fill="F2F2F2" w:themeFill="background1" w:themeFillShade="F2"/>
          </w:tcPr>
          <w:p w14:paraId="4C94B16B" w14:textId="68268AAF" w:rsidR="004E53FD" w:rsidRPr="00056114" w:rsidRDefault="004E53FD" w:rsidP="004E53FD">
            <w:pPr>
              <w:pStyle w:val="NoSpacing"/>
              <w:rPr>
                <w:rFonts w:cstheme="minorHAnsi"/>
                <w:sz w:val="20"/>
                <w:szCs w:val="20"/>
              </w:rPr>
            </w:pPr>
            <w:r w:rsidRPr="00311F46">
              <w:rPr>
                <w:rFonts w:cstheme="minorHAnsi"/>
                <w:sz w:val="20"/>
                <w:szCs w:val="20"/>
              </w:rPr>
              <w:t>Oracle</w:t>
            </w:r>
          </w:p>
        </w:tc>
      </w:tr>
      <w:tr w:rsidR="004E53FD" w:rsidRPr="00056114" w14:paraId="1A302628" w14:textId="67EA05FE" w:rsidTr="00B50AAC">
        <w:trPr>
          <w:cnfStyle w:val="000000010000" w:firstRow="0" w:lastRow="0" w:firstColumn="0" w:lastColumn="0" w:oddVBand="0" w:evenVBand="0" w:oddHBand="0" w:evenHBand="1" w:firstRowFirstColumn="0" w:firstRowLastColumn="0" w:lastRowFirstColumn="0" w:lastRowLastColumn="0"/>
        </w:trPr>
        <w:tc>
          <w:tcPr>
            <w:tcW w:w="1885" w:type="dxa"/>
          </w:tcPr>
          <w:p w14:paraId="5A6A7E1C" w14:textId="4CFF9C36" w:rsidR="004E53FD" w:rsidRPr="00056114" w:rsidRDefault="004E53FD" w:rsidP="004E53FD">
            <w:pPr>
              <w:rPr>
                <w:rFonts w:cstheme="minorHAnsi"/>
                <w:sz w:val="20"/>
                <w:szCs w:val="20"/>
              </w:rPr>
            </w:pPr>
            <w:hyperlink r:id="rId80" w:history="1">
              <w:r w:rsidRPr="00096E72">
                <w:rPr>
                  <w:rStyle w:val="Hyperlink"/>
                  <w:rFonts w:cstheme="minorHAnsi"/>
                  <w:sz w:val="20"/>
                  <w:szCs w:val="20"/>
                </w:rPr>
                <w:t>Responsibilities of Purchasers, Preparers</w:t>
              </w:r>
              <w:r>
                <w:rPr>
                  <w:rStyle w:val="Hyperlink"/>
                  <w:rFonts w:cstheme="minorHAnsi"/>
                  <w:sz w:val="20"/>
                  <w:szCs w:val="20"/>
                </w:rPr>
                <w:t>,</w:t>
              </w:r>
              <w:r w:rsidRPr="00096E72">
                <w:rPr>
                  <w:rStyle w:val="Hyperlink"/>
                  <w:rFonts w:cstheme="minorHAnsi"/>
                  <w:sz w:val="20"/>
                  <w:szCs w:val="20"/>
                </w:rPr>
                <w:t xml:space="preserve"> and Approvers</w:t>
              </w:r>
            </w:hyperlink>
          </w:p>
        </w:tc>
        <w:tc>
          <w:tcPr>
            <w:tcW w:w="5940" w:type="dxa"/>
          </w:tcPr>
          <w:p w14:paraId="4274E98A" w14:textId="1D013BCE" w:rsidR="004E53FD" w:rsidRPr="00056114" w:rsidRDefault="004E53FD" w:rsidP="004E53FD">
            <w:pPr>
              <w:pStyle w:val="NoSpacing"/>
              <w:tabs>
                <w:tab w:val="left" w:pos="0"/>
                <w:tab w:val="left" w:pos="13680"/>
              </w:tabs>
              <w:rPr>
                <w:rFonts w:eastAsiaTheme="minorEastAsia" w:cstheme="minorHAnsi"/>
                <w:sz w:val="20"/>
                <w:szCs w:val="20"/>
              </w:rPr>
            </w:pPr>
            <w:r w:rsidRPr="00056114">
              <w:rPr>
                <w:sz w:val="20"/>
                <w:szCs w:val="20"/>
                <w:lang w:val="en"/>
              </w:rPr>
              <w:t>Individuals who spend funds or who prepare or authorize expenditures on behalf of the University have a stewardship responsibility to ensure those transactions are reasonable, appropriate, and have a proper University business purpose. This policy defines and codifies the responsibilities of individuals who spend Harvard funds and who prepare and approve transactions.</w:t>
            </w:r>
          </w:p>
        </w:tc>
        <w:tc>
          <w:tcPr>
            <w:tcW w:w="1800" w:type="dxa"/>
          </w:tcPr>
          <w:p w14:paraId="35F4DADA" w14:textId="3B912079" w:rsidR="00A11335" w:rsidRPr="00A11335" w:rsidRDefault="004E53FD" w:rsidP="00A11335">
            <w:pPr>
              <w:pStyle w:val="NoSpacing"/>
              <w:tabs>
                <w:tab w:val="left" w:pos="0"/>
                <w:tab w:val="left" w:pos="13680"/>
              </w:tabs>
              <w:spacing w:after="120"/>
            </w:pPr>
            <w:hyperlink r:id="rId81" w:history="1">
              <w:r w:rsidRPr="000C0BE3">
                <w:rPr>
                  <w:rStyle w:val="Hyperlink"/>
                  <w:sz w:val="20"/>
                  <w:szCs w:val="20"/>
                  <w:lang w:val="en"/>
                </w:rPr>
                <w:t>Buy-to-Pay(B2P)</w:t>
              </w:r>
            </w:hyperlink>
          </w:p>
          <w:p w14:paraId="00028E71" w14:textId="49978505" w:rsidR="004E53FD" w:rsidRDefault="004E53FD" w:rsidP="00A11335">
            <w:pPr>
              <w:pStyle w:val="NoSpacing"/>
              <w:tabs>
                <w:tab w:val="left" w:pos="0"/>
                <w:tab w:val="left" w:pos="13680"/>
              </w:tabs>
              <w:spacing w:after="120"/>
              <w:rPr>
                <w:sz w:val="20"/>
                <w:szCs w:val="20"/>
                <w:lang w:val="en"/>
              </w:rPr>
            </w:pPr>
            <w:hyperlink r:id="rId82" w:history="1">
              <w:r w:rsidRPr="009B1333">
                <w:rPr>
                  <w:rStyle w:val="Hyperlink"/>
                  <w:sz w:val="20"/>
                  <w:szCs w:val="20"/>
                  <w:lang w:val="en"/>
                </w:rPr>
                <w:t>Financial Close and Reporting</w:t>
              </w:r>
            </w:hyperlink>
          </w:p>
          <w:p w14:paraId="325DDDFE" w14:textId="54D6DA18" w:rsidR="004E53FD" w:rsidRDefault="004E53FD" w:rsidP="00A11335">
            <w:pPr>
              <w:pStyle w:val="NoSpacing"/>
              <w:tabs>
                <w:tab w:val="left" w:pos="0"/>
                <w:tab w:val="left" w:pos="13680"/>
              </w:tabs>
              <w:spacing w:after="120"/>
              <w:rPr>
                <w:sz w:val="20"/>
                <w:szCs w:val="20"/>
                <w:lang w:val="en"/>
              </w:rPr>
            </w:pPr>
            <w:hyperlink r:id="rId83" w:history="1">
              <w:r w:rsidRPr="00A441CF">
                <w:rPr>
                  <w:rStyle w:val="Hyperlink"/>
                  <w:sz w:val="20"/>
                  <w:szCs w:val="20"/>
                  <w:lang w:val="en"/>
                </w:rPr>
                <w:t>Hire to Pay</w:t>
              </w:r>
            </w:hyperlink>
          </w:p>
          <w:p w14:paraId="1F533146" w14:textId="5179BD49" w:rsidR="004E53FD" w:rsidRDefault="004E53FD" w:rsidP="00A11335">
            <w:pPr>
              <w:pStyle w:val="NoSpacing"/>
              <w:tabs>
                <w:tab w:val="left" w:pos="0"/>
                <w:tab w:val="left" w:pos="13680"/>
              </w:tabs>
              <w:spacing w:after="120"/>
              <w:rPr>
                <w:sz w:val="20"/>
                <w:szCs w:val="20"/>
                <w:lang w:val="en"/>
              </w:rPr>
            </w:pPr>
            <w:hyperlink r:id="rId84" w:history="1">
              <w:r w:rsidRPr="000B67A1">
                <w:rPr>
                  <w:rStyle w:val="Hyperlink"/>
                  <w:sz w:val="20"/>
                  <w:szCs w:val="20"/>
                  <w:lang w:val="en"/>
                </w:rPr>
                <w:t>Sponsored Award Programs</w:t>
              </w:r>
            </w:hyperlink>
          </w:p>
          <w:p w14:paraId="44CEC0BA" w14:textId="465F68F2" w:rsidR="004E53FD" w:rsidRPr="00C759C3" w:rsidRDefault="004E53FD" w:rsidP="00A11335">
            <w:pPr>
              <w:pStyle w:val="NoSpacing"/>
              <w:tabs>
                <w:tab w:val="left" w:pos="0"/>
                <w:tab w:val="left" w:pos="13680"/>
              </w:tabs>
              <w:spacing w:after="120"/>
              <w:rPr>
                <w:rStyle w:val="Hyperlink"/>
                <w:sz w:val="20"/>
                <w:szCs w:val="20"/>
                <w:lang w:val="en"/>
              </w:rPr>
            </w:pPr>
            <w:r>
              <w:rPr>
                <w:sz w:val="20"/>
                <w:szCs w:val="20"/>
                <w:lang w:val="en"/>
              </w:rPr>
              <w:lastRenderedPageBreak/>
              <w:fldChar w:fldCharType="begin"/>
            </w:r>
            <w:r>
              <w:rPr>
                <w:sz w:val="20"/>
                <w:szCs w:val="20"/>
                <w:lang w:val="en"/>
              </w:rPr>
              <w:instrText>HYPERLINK "https://internalcontrols.oc.finance.harvard.edu/business-expense-reimbursement-concur"</w:instrText>
            </w:r>
            <w:r>
              <w:rPr>
                <w:sz w:val="20"/>
                <w:szCs w:val="20"/>
                <w:lang w:val="en"/>
              </w:rPr>
            </w:r>
            <w:r>
              <w:rPr>
                <w:sz w:val="20"/>
                <w:szCs w:val="20"/>
                <w:lang w:val="en"/>
              </w:rPr>
              <w:fldChar w:fldCharType="separate"/>
            </w:r>
            <w:r w:rsidRPr="00C759C3">
              <w:rPr>
                <w:rStyle w:val="Hyperlink"/>
                <w:sz w:val="20"/>
                <w:szCs w:val="20"/>
                <w:lang w:val="en"/>
              </w:rPr>
              <w:t xml:space="preserve">Business </w:t>
            </w:r>
          </w:p>
          <w:p w14:paraId="3C8A74C4" w14:textId="2D8AA7DB" w:rsidR="004E53FD" w:rsidRPr="00056114" w:rsidRDefault="004E53FD" w:rsidP="00A11335">
            <w:pPr>
              <w:pStyle w:val="NoSpacing"/>
              <w:tabs>
                <w:tab w:val="left" w:pos="0"/>
                <w:tab w:val="left" w:pos="13680"/>
              </w:tabs>
              <w:spacing w:after="120"/>
              <w:rPr>
                <w:sz w:val="20"/>
                <w:szCs w:val="20"/>
                <w:lang w:val="en"/>
              </w:rPr>
            </w:pPr>
            <w:r w:rsidRPr="00C759C3">
              <w:rPr>
                <w:rStyle w:val="Hyperlink"/>
                <w:sz w:val="20"/>
                <w:szCs w:val="20"/>
                <w:lang w:val="en"/>
              </w:rPr>
              <w:t>Expenses Reimbursement (Concur)</w:t>
            </w:r>
            <w:r>
              <w:rPr>
                <w:sz w:val="20"/>
                <w:szCs w:val="20"/>
                <w:lang w:val="en"/>
              </w:rPr>
              <w:fldChar w:fldCharType="end"/>
            </w:r>
          </w:p>
        </w:tc>
        <w:tc>
          <w:tcPr>
            <w:tcW w:w="1530" w:type="dxa"/>
          </w:tcPr>
          <w:p w14:paraId="725CD5A0" w14:textId="45EE4C07" w:rsidR="004E53FD" w:rsidRDefault="004E53FD" w:rsidP="004E53FD">
            <w:pPr>
              <w:pStyle w:val="NoSpacing"/>
              <w:tabs>
                <w:tab w:val="left" w:pos="0"/>
                <w:tab w:val="left" w:pos="13680"/>
              </w:tabs>
              <w:rPr>
                <w:sz w:val="20"/>
                <w:szCs w:val="20"/>
                <w:lang w:val="en"/>
              </w:rPr>
            </w:pPr>
            <w:hyperlink r:id="rId85" w:history="1">
              <w:r w:rsidRPr="007A68EE">
                <w:rPr>
                  <w:rStyle w:val="Hyperlink"/>
                  <w:rFonts w:eastAsia="Times New Roman" w:cstheme="minorHAnsi"/>
                  <w:sz w:val="20"/>
                  <w:szCs w:val="20"/>
                </w:rPr>
                <w:t>Competency Track</w:t>
              </w:r>
            </w:hyperlink>
          </w:p>
        </w:tc>
        <w:tc>
          <w:tcPr>
            <w:tcW w:w="1710" w:type="dxa"/>
          </w:tcPr>
          <w:p w14:paraId="5B465305" w14:textId="3FA62D47" w:rsidR="004E53FD" w:rsidRDefault="004E53FD" w:rsidP="004E53FD">
            <w:pPr>
              <w:pStyle w:val="NoSpacing"/>
              <w:tabs>
                <w:tab w:val="left" w:pos="0"/>
                <w:tab w:val="left" w:pos="13680"/>
              </w:tabs>
              <w:rPr>
                <w:sz w:val="20"/>
                <w:szCs w:val="20"/>
                <w:lang w:val="en"/>
              </w:rPr>
            </w:pPr>
            <w:r>
              <w:rPr>
                <w:sz w:val="20"/>
                <w:szCs w:val="20"/>
                <w:lang w:val="en"/>
              </w:rPr>
              <w:t>Financial Policy Office</w:t>
            </w:r>
          </w:p>
        </w:tc>
        <w:tc>
          <w:tcPr>
            <w:tcW w:w="1350" w:type="dxa"/>
          </w:tcPr>
          <w:p w14:paraId="17F4C6BB" w14:textId="35C82BD5" w:rsidR="004E53FD" w:rsidRPr="00056114" w:rsidRDefault="004E53FD" w:rsidP="004E53FD">
            <w:pPr>
              <w:pStyle w:val="NoSpacing"/>
              <w:tabs>
                <w:tab w:val="left" w:pos="0"/>
                <w:tab w:val="left" w:pos="13680"/>
              </w:tabs>
              <w:rPr>
                <w:sz w:val="20"/>
                <w:szCs w:val="20"/>
                <w:lang w:val="en"/>
              </w:rPr>
            </w:pPr>
            <w:r>
              <w:rPr>
                <w:sz w:val="20"/>
                <w:szCs w:val="20"/>
                <w:lang w:val="en"/>
              </w:rPr>
              <w:t>All</w:t>
            </w:r>
          </w:p>
        </w:tc>
      </w:tr>
      <w:tr w:rsidR="004E53FD" w:rsidRPr="00056114" w14:paraId="44108ECD" w14:textId="143F1A99" w:rsidTr="00CA2CD2">
        <w:tc>
          <w:tcPr>
            <w:tcW w:w="1885" w:type="dxa"/>
            <w:shd w:val="clear" w:color="auto" w:fill="F2F2F2" w:themeFill="background1" w:themeFillShade="F2"/>
          </w:tcPr>
          <w:p w14:paraId="2A40A15F" w14:textId="630829EC" w:rsidR="004E53FD" w:rsidRPr="00056114" w:rsidRDefault="004E53FD" w:rsidP="004E53FD">
            <w:pPr>
              <w:rPr>
                <w:rFonts w:cstheme="minorHAnsi"/>
                <w:sz w:val="20"/>
                <w:szCs w:val="20"/>
                <w:u w:val="single"/>
              </w:rPr>
            </w:pPr>
            <w:hyperlink r:id="rId86" w:history="1">
              <w:r w:rsidRPr="00D60BB7">
                <w:rPr>
                  <w:rStyle w:val="Hyperlink"/>
                  <w:rFonts w:cstheme="minorHAnsi"/>
                  <w:sz w:val="20"/>
                  <w:szCs w:val="20"/>
                </w:rPr>
                <w:t>Restricted Fund Spending Compliance</w:t>
              </w:r>
            </w:hyperlink>
          </w:p>
        </w:tc>
        <w:tc>
          <w:tcPr>
            <w:tcW w:w="5940" w:type="dxa"/>
            <w:shd w:val="clear" w:color="auto" w:fill="F2F2F2" w:themeFill="background1" w:themeFillShade="F2"/>
          </w:tcPr>
          <w:p w14:paraId="7B609A68" w14:textId="4B891315" w:rsidR="004E53FD" w:rsidRPr="00056114" w:rsidRDefault="004E53FD" w:rsidP="004E53FD">
            <w:pPr>
              <w:pStyle w:val="NoSpacing"/>
              <w:tabs>
                <w:tab w:val="left" w:pos="0"/>
                <w:tab w:val="left" w:pos="13680"/>
              </w:tabs>
              <w:rPr>
                <w:rFonts w:eastAsiaTheme="minorEastAsia" w:cstheme="minorHAnsi"/>
                <w:sz w:val="20"/>
                <w:szCs w:val="20"/>
              </w:rPr>
            </w:pPr>
            <w:r w:rsidRPr="00056114">
              <w:rPr>
                <w:rFonts w:eastAsiaTheme="minorEastAsia" w:cstheme="minorHAnsi"/>
                <w:sz w:val="20"/>
                <w:szCs w:val="20"/>
              </w:rPr>
              <w:t xml:space="preserve">All Harvard University schools and units are required to establish sound procedures to manage spending on </w:t>
            </w:r>
            <w:r>
              <w:rPr>
                <w:rFonts w:eastAsiaTheme="minorEastAsia" w:cstheme="minorHAnsi"/>
                <w:sz w:val="20"/>
                <w:szCs w:val="20"/>
              </w:rPr>
              <w:t>donor-restricted</w:t>
            </w:r>
            <w:r w:rsidRPr="00056114">
              <w:rPr>
                <w:rFonts w:eastAsiaTheme="minorEastAsia" w:cstheme="minorHAnsi"/>
                <w:sz w:val="20"/>
                <w:szCs w:val="20"/>
              </w:rPr>
              <w:t xml:space="preserve"> funds to achieve the objective of compliance with terms and conditions. This policy establishes key controls that each school must include in its local procedures.</w:t>
            </w:r>
          </w:p>
        </w:tc>
        <w:tc>
          <w:tcPr>
            <w:tcW w:w="1800" w:type="dxa"/>
            <w:shd w:val="clear" w:color="auto" w:fill="F2F2F2" w:themeFill="background1" w:themeFillShade="F2"/>
          </w:tcPr>
          <w:p w14:paraId="269236A9" w14:textId="768BD31E" w:rsidR="004E53FD" w:rsidRPr="00056114" w:rsidRDefault="004E53FD" w:rsidP="004E53FD">
            <w:pPr>
              <w:pStyle w:val="NoSpacing"/>
              <w:tabs>
                <w:tab w:val="left" w:pos="0"/>
                <w:tab w:val="left" w:pos="13680"/>
              </w:tabs>
              <w:rPr>
                <w:rFonts w:eastAsiaTheme="minorEastAsia" w:cstheme="minorHAnsi"/>
                <w:sz w:val="20"/>
                <w:szCs w:val="20"/>
              </w:rPr>
            </w:pPr>
            <w:r>
              <w:rPr>
                <w:sz w:val="20"/>
                <w:szCs w:val="20"/>
                <w:lang w:val="en"/>
              </w:rPr>
              <w:t>N/A</w:t>
            </w:r>
            <w:r w:rsidRPr="00056114">
              <w:rPr>
                <w:sz w:val="20"/>
                <w:szCs w:val="20"/>
                <w:lang w:val="en"/>
              </w:rPr>
              <w:t xml:space="preserve"> </w:t>
            </w:r>
          </w:p>
        </w:tc>
        <w:tc>
          <w:tcPr>
            <w:tcW w:w="1530" w:type="dxa"/>
            <w:shd w:val="clear" w:color="auto" w:fill="F2F2F2" w:themeFill="background1" w:themeFillShade="F2"/>
          </w:tcPr>
          <w:p w14:paraId="30176C62" w14:textId="7F40F88C" w:rsidR="004E53FD" w:rsidRPr="00311F46" w:rsidRDefault="004E53FD" w:rsidP="004E53FD">
            <w:pPr>
              <w:pStyle w:val="NoSpacing"/>
              <w:tabs>
                <w:tab w:val="left" w:pos="0"/>
                <w:tab w:val="left" w:pos="13680"/>
              </w:tabs>
              <w:rPr>
                <w:rFonts w:eastAsiaTheme="minorEastAsia" w:cstheme="minorHAnsi"/>
                <w:sz w:val="20"/>
                <w:szCs w:val="20"/>
              </w:rPr>
            </w:pPr>
            <w:r>
              <w:rPr>
                <w:sz w:val="20"/>
                <w:szCs w:val="20"/>
                <w:lang w:val="en"/>
              </w:rPr>
              <w:t>N/A</w:t>
            </w:r>
            <w:r w:rsidRPr="00056114">
              <w:rPr>
                <w:sz w:val="20"/>
                <w:szCs w:val="20"/>
                <w:lang w:val="en"/>
              </w:rPr>
              <w:t xml:space="preserve"> </w:t>
            </w:r>
          </w:p>
        </w:tc>
        <w:tc>
          <w:tcPr>
            <w:tcW w:w="1710" w:type="dxa"/>
            <w:shd w:val="clear" w:color="auto" w:fill="F2F2F2" w:themeFill="background1" w:themeFillShade="F2"/>
          </w:tcPr>
          <w:p w14:paraId="27476D22" w14:textId="5C5CBB85" w:rsidR="004E53FD" w:rsidRPr="00311F46" w:rsidRDefault="004E53FD" w:rsidP="004E53FD">
            <w:pPr>
              <w:pStyle w:val="NoSpacing"/>
              <w:tabs>
                <w:tab w:val="left" w:pos="0"/>
                <w:tab w:val="left" w:pos="13680"/>
              </w:tabs>
              <w:rPr>
                <w:rFonts w:eastAsiaTheme="minorEastAsia" w:cstheme="minorHAnsi"/>
                <w:sz w:val="20"/>
                <w:szCs w:val="20"/>
              </w:rPr>
            </w:pPr>
            <w:r>
              <w:rPr>
                <w:rFonts w:eastAsiaTheme="minorEastAsia" w:cstheme="minorHAnsi"/>
                <w:sz w:val="20"/>
                <w:szCs w:val="20"/>
              </w:rPr>
              <w:t>Office of the Controller</w:t>
            </w:r>
          </w:p>
        </w:tc>
        <w:tc>
          <w:tcPr>
            <w:tcW w:w="1350" w:type="dxa"/>
            <w:shd w:val="clear" w:color="auto" w:fill="F2F2F2" w:themeFill="background1" w:themeFillShade="F2"/>
          </w:tcPr>
          <w:p w14:paraId="53EC2291" w14:textId="6AF3D536" w:rsidR="004E53FD" w:rsidRPr="00056114" w:rsidRDefault="004E53FD" w:rsidP="004E53FD">
            <w:pPr>
              <w:pStyle w:val="NoSpacing"/>
              <w:tabs>
                <w:tab w:val="left" w:pos="0"/>
                <w:tab w:val="left" w:pos="13680"/>
              </w:tabs>
              <w:rPr>
                <w:rFonts w:eastAsiaTheme="minorEastAsia" w:cstheme="minorHAnsi"/>
                <w:sz w:val="20"/>
                <w:szCs w:val="20"/>
              </w:rPr>
            </w:pPr>
            <w:r w:rsidRPr="00311F46">
              <w:rPr>
                <w:rFonts w:eastAsiaTheme="minorEastAsia" w:cstheme="minorHAnsi"/>
                <w:sz w:val="20"/>
                <w:szCs w:val="20"/>
              </w:rPr>
              <w:t>Oracle</w:t>
            </w:r>
          </w:p>
        </w:tc>
      </w:tr>
      <w:tr w:rsidR="004E53FD" w:rsidRPr="00056114" w14:paraId="57CEE66A" w14:textId="7CBF2CDD" w:rsidTr="00B50AAC">
        <w:trPr>
          <w:cnfStyle w:val="000000010000" w:firstRow="0" w:lastRow="0" w:firstColumn="0" w:lastColumn="0" w:oddVBand="0" w:evenVBand="0" w:oddHBand="0" w:evenHBand="1" w:firstRowFirstColumn="0" w:firstRowLastColumn="0" w:lastRowFirstColumn="0" w:lastRowLastColumn="0"/>
        </w:trPr>
        <w:tc>
          <w:tcPr>
            <w:tcW w:w="1885" w:type="dxa"/>
          </w:tcPr>
          <w:p w14:paraId="4A43349A" w14:textId="74D933D0" w:rsidR="004E53FD" w:rsidRPr="00056114" w:rsidRDefault="004E53FD" w:rsidP="004E53FD">
            <w:pPr>
              <w:rPr>
                <w:rFonts w:cstheme="minorHAnsi"/>
                <w:sz w:val="20"/>
                <w:szCs w:val="20"/>
                <w:u w:val="single"/>
              </w:rPr>
            </w:pPr>
            <w:hyperlink r:id="rId87" w:history="1">
              <w:r w:rsidRPr="00D60BB7">
                <w:rPr>
                  <w:rStyle w:val="Hyperlink"/>
                  <w:rFonts w:cstheme="minorHAnsi"/>
                  <w:sz w:val="20"/>
                  <w:szCs w:val="20"/>
                </w:rPr>
                <w:t>Revenue Recognition</w:t>
              </w:r>
            </w:hyperlink>
          </w:p>
        </w:tc>
        <w:tc>
          <w:tcPr>
            <w:tcW w:w="5940" w:type="dxa"/>
          </w:tcPr>
          <w:p w14:paraId="65C921E7" w14:textId="77777777" w:rsidR="004E53FD" w:rsidRDefault="004E53FD" w:rsidP="004E53FD">
            <w:pPr>
              <w:pStyle w:val="NoSpacing"/>
              <w:rPr>
                <w:sz w:val="20"/>
                <w:szCs w:val="20"/>
              </w:rPr>
            </w:pPr>
            <w:r w:rsidRPr="19A573B4">
              <w:rPr>
                <w:sz w:val="20"/>
                <w:szCs w:val="20"/>
              </w:rPr>
              <w:t xml:space="preserve">This policy establishes when revenue must be recorded at the University. The University requires that revenues be recognized on an accrual basis, meaning when they are earned, not necessarily when payment is received. </w:t>
            </w:r>
          </w:p>
          <w:p w14:paraId="021E19C2" w14:textId="2B3B325B" w:rsidR="00C959A6" w:rsidRPr="00056114" w:rsidRDefault="00C959A6" w:rsidP="004E53FD">
            <w:pPr>
              <w:pStyle w:val="NoSpacing"/>
              <w:rPr>
                <w:sz w:val="20"/>
                <w:szCs w:val="20"/>
              </w:rPr>
            </w:pPr>
          </w:p>
        </w:tc>
        <w:tc>
          <w:tcPr>
            <w:tcW w:w="1800" w:type="dxa"/>
          </w:tcPr>
          <w:p w14:paraId="6AD7A58A" w14:textId="39C6FF6D" w:rsidR="004E53FD" w:rsidRPr="00056114" w:rsidRDefault="004E53FD" w:rsidP="004E53FD">
            <w:pPr>
              <w:pStyle w:val="NoSpacing"/>
              <w:rPr>
                <w:rFonts w:cstheme="minorHAnsi"/>
                <w:sz w:val="20"/>
                <w:szCs w:val="20"/>
              </w:rPr>
            </w:pPr>
            <w:r w:rsidRPr="003B2134">
              <w:rPr>
                <w:rFonts w:cstheme="minorHAnsi"/>
                <w:sz w:val="20"/>
                <w:szCs w:val="20"/>
              </w:rPr>
              <w:t>N/A</w:t>
            </w:r>
          </w:p>
        </w:tc>
        <w:tc>
          <w:tcPr>
            <w:tcW w:w="1530" w:type="dxa"/>
          </w:tcPr>
          <w:p w14:paraId="535032F9" w14:textId="2241BAE9" w:rsidR="004E53FD" w:rsidRPr="00311F46" w:rsidRDefault="004E53FD" w:rsidP="004E53FD">
            <w:pPr>
              <w:pStyle w:val="NoSpacing"/>
              <w:rPr>
                <w:rFonts w:cstheme="minorHAnsi"/>
                <w:sz w:val="20"/>
                <w:szCs w:val="20"/>
              </w:rPr>
            </w:pPr>
            <w:r w:rsidRPr="003B2134">
              <w:rPr>
                <w:rFonts w:cstheme="minorHAnsi"/>
                <w:sz w:val="20"/>
                <w:szCs w:val="20"/>
              </w:rPr>
              <w:t>N/A</w:t>
            </w:r>
          </w:p>
        </w:tc>
        <w:tc>
          <w:tcPr>
            <w:tcW w:w="1710" w:type="dxa"/>
          </w:tcPr>
          <w:p w14:paraId="1FD9429A" w14:textId="41951019" w:rsidR="004E53FD" w:rsidRPr="00311F46" w:rsidRDefault="004E53FD" w:rsidP="004E53FD">
            <w:pPr>
              <w:pStyle w:val="NoSpacing"/>
              <w:rPr>
                <w:rFonts w:cstheme="minorHAnsi"/>
                <w:sz w:val="20"/>
                <w:szCs w:val="20"/>
              </w:rPr>
            </w:pPr>
            <w:r>
              <w:rPr>
                <w:rFonts w:cstheme="minorHAnsi"/>
                <w:sz w:val="20"/>
                <w:szCs w:val="20"/>
              </w:rPr>
              <w:t>Financial Accounting and Reporting</w:t>
            </w:r>
          </w:p>
        </w:tc>
        <w:tc>
          <w:tcPr>
            <w:tcW w:w="1350" w:type="dxa"/>
          </w:tcPr>
          <w:p w14:paraId="4D290C53" w14:textId="49D2321C" w:rsidR="004E53FD" w:rsidRPr="00056114" w:rsidRDefault="004E53FD" w:rsidP="004E53FD">
            <w:pPr>
              <w:pStyle w:val="NoSpacing"/>
              <w:rPr>
                <w:rFonts w:cstheme="minorHAnsi"/>
                <w:sz w:val="20"/>
                <w:szCs w:val="20"/>
              </w:rPr>
            </w:pPr>
            <w:r w:rsidRPr="00311F46">
              <w:rPr>
                <w:rFonts w:cstheme="minorHAnsi"/>
                <w:sz w:val="20"/>
                <w:szCs w:val="20"/>
              </w:rPr>
              <w:t>Oracle</w:t>
            </w:r>
          </w:p>
        </w:tc>
      </w:tr>
      <w:tr w:rsidR="004E53FD" w:rsidRPr="00056114" w14:paraId="1B1ADF50" w14:textId="12E90581" w:rsidTr="00CA2CD2">
        <w:tc>
          <w:tcPr>
            <w:tcW w:w="1885" w:type="dxa"/>
            <w:shd w:val="clear" w:color="auto" w:fill="F2F2F2" w:themeFill="background1" w:themeFillShade="F2"/>
          </w:tcPr>
          <w:p w14:paraId="680E6E94" w14:textId="399C3E76" w:rsidR="004E53FD" w:rsidRPr="00056114" w:rsidRDefault="004E53FD" w:rsidP="004E53FD">
            <w:pPr>
              <w:rPr>
                <w:rFonts w:cstheme="minorHAnsi"/>
                <w:sz w:val="20"/>
                <w:szCs w:val="20"/>
              </w:rPr>
            </w:pPr>
            <w:r w:rsidRPr="00056114">
              <w:rPr>
                <w:rFonts w:cstheme="minorHAnsi"/>
                <w:sz w:val="20"/>
                <w:szCs w:val="20"/>
              </w:rPr>
              <w:t>Short-Term Operating Advances</w:t>
            </w:r>
          </w:p>
        </w:tc>
        <w:tc>
          <w:tcPr>
            <w:tcW w:w="5940" w:type="dxa"/>
            <w:shd w:val="clear" w:color="auto" w:fill="F2F2F2" w:themeFill="background1" w:themeFillShade="F2"/>
          </w:tcPr>
          <w:p w14:paraId="0E7F6678" w14:textId="77777777" w:rsidR="004E53FD" w:rsidRDefault="004E53FD" w:rsidP="004E53FD">
            <w:pPr>
              <w:pStyle w:val="NoSpacing"/>
              <w:rPr>
                <w:sz w:val="20"/>
                <w:szCs w:val="20"/>
                <w:lang w:val="en"/>
              </w:rPr>
            </w:pPr>
            <w:r w:rsidRPr="00056114">
              <w:rPr>
                <w:sz w:val="20"/>
                <w:szCs w:val="20"/>
                <w:lang w:val="en"/>
              </w:rPr>
              <w:t xml:space="preserve">A short-term operating advance (STOA) is a funding method used to provide cash for short-term project expenses where other methods of funding are impractical. </w:t>
            </w:r>
          </w:p>
          <w:p w14:paraId="0CB51CB4" w14:textId="702455E6" w:rsidR="00C959A6" w:rsidRPr="00056114" w:rsidRDefault="00C959A6" w:rsidP="004E53FD">
            <w:pPr>
              <w:pStyle w:val="NoSpacing"/>
              <w:rPr>
                <w:rFonts w:cstheme="minorHAnsi"/>
                <w:sz w:val="20"/>
                <w:szCs w:val="20"/>
              </w:rPr>
            </w:pPr>
          </w:p>
        </w:tc>
        <w:tc>
          <w:tcPr>
            <w:tcW w:w="1800" w:type="dxa"/>
            <w:shd w:val="clear" w:color="auto" w:fill="F2F2F2" w:themeFill="background1" w:themeFillShade="F2"/>
          </w:tcPr>
          <w:p w14:paraId="0FDEA4A0" w14:textId="4539BB07" w:rsidR="004E53FD" w:rsidRPr="00056114" w:rsidRDefault="004E53FD" w:rsidP="004E53FD">
            <w:pPr>
              <w:pStyle w:val="NoSpacing"/>
              <w:rPr>
                <w:sz w:val="20"/>
                <w:szCs w:val="20"/>
                <w:lang w:val="en"/>
              </w:rPr>
            </w:pPr>
            <w:r>
              <w:rPr>
                <w:sz w:val="20"/>
                <w:szCs w:val="20"/>
                <w:lang w:val="en"/>
              </w:rPr>
              <w:t>N/A</w:t>
            </w:r>
            <w:r w:rsidRPr="00056114">
              <w:rPr>
                <w:sz w:val="20"/>
                <w:szCs w:val="20"/>
                <w:lang w:val="en"/>
              </w:rPr>
              <w:t xml:space="preserve"> </w:t>
            </w:r>
          </w:p>
        </w:tc>
        <w:tc>
          <w:tcPr>
            <w:tcW w:w="1530" w:type="dxa"/>
            <w:shd w:val="clear" w:color="auto" w:fill="F2F2F2" w:themeFill="background1" w:themeFillShade="F2"/>
          </w:tcPr>
          <w:p w14:paraId="281397AC" w14:textId="77777777" w:rsidR="004E53FD" w:rsidRDefault="004E53FD" w:rsidP="004E53FD">
            <w:pPr>
              <w:pStyle w:val="NoSpacing"/>
              <w:rPr>
                <w:rFonts w:cstheme="minorHAnsi"/>
                <w:sz w:val="20"/>
                <w:szCs w:val="20"/>
              </w:rPr>
            </w:pPr>
            <w:hyperlink r:id="rId88" w:history="1">
              <w:r w:rsidRPr="005502C6">
                <w:rPr>
                  <w:rStyle w:val="Hyperlink"/>
                  <w:rFonts w:cstheme="minorHAnsi"/>
                  <w:sz w:val="20"/>
                  <w:szCs w:val="20"/>
                </w:rPr>
                <w:t>B2P</w:t>
              </w:r>
            </w:hyperlink>
          </w:p>
          <w:p w14:paraId="49109D6F" w14:textId="5DBC9E59" w:rsidR="004E53FD" w:rsidRDefault="004E53FD" w:rsidP="004E53FD">
            <w:pPr>
              <w:pStyle w:val="NoSpacing"/>
              <w:rPr>
                <w:sz w:val="20"/>
                <w:szCs w:val="20"/>
                <w:lang w:val="en"/>
              </w:rPr>
            </w:pPr>
          </w:p>
        </w:tc>
        <w:tc>
          <w:tcPr>
            <w:tcW w:w="1710" w:type="dxa"/>
            <w:shd w:val="clear" w:color="auto" w:fill="F2F2F2" w:themeFill="background1" w:themeFillShade="F2"/>
          </w:tcPr>
          <w:p w14:paraId="68D4D215" w14:textId="05CD2476" w:rsidR="004E53FD" w:rsidRDefault="004E53FD" w:rsidP="004E53FD">
            <w:pPr>
              <w:pStyle w:val="NoSpacing"/>
              <w:rPr>
                <w:sz w:val="20"/>
                <w:szCs w:val="20"/>
                <w:lang w:val="en"/>
              </w:rPr>
            </w:pPr>
            <w:r>
              <w:rPr>
                <w:sz w:val="20"/>
                <w:szCs w:val="20"/>
                <w:lang w:val="en"/>
              </w:rPr>
              <w:t>Strategic Procurement</w:t>
            </w:r>
          </w:p>
        </w:tc>
        <w:tc>
          <w:tcPr>
            <w:tcW w:w="1350" w:type="dxa"/>
            <w:shd w:val="clear" w:color="auto" w:fill="F2F2F2" w:themeFill="background1" w:themeFillShade="F2"/>
          </w:tcPr>
          <w:p w14:paraId="1084D96B" w14:textId="7A2B43CC" w:rsidR="004E53FD" w:rsidRPr="00056114" w:rsidRDefault="004E53FD" w:rsidP="004E53FD">
            <w:pPr>
              <w:pStyle w:val="NoSpacing"/>
              <w:rPr>
                <w:sz w:val="20"/>
                <w:szCs w:val="20"/>
                <w:lang w:val="en"/>
              </w:rPr>
            </w:pPr>
            <w:r>
              <w:rPr>
                <w:sz w:val="20"/>
                <w:szCs w:val="20"/>
                <w:lang w:val="en"/>
              </w:rPr>
              <w:t>B2P</w:t>
            </w:r>
          </w:p>
        </w:tc>
      </w:tr>
      <w:tr w:rsidR="004E53FD" w:rsidRPr="00056114" w14:paraId="34922D06" w14:textId="2C92C281" w:rsidTr="00B50AAC">
        <w:trPr>
          <w:cnfStyle w:val="000000010000" w:firstRow="0" w:lastRow="0" w:firstColumn="0" w:lastColumn="0" w:oddVBand="0" w:evenVBand="0" w:oddHBand="0" w:evenHBand="1" w:firstRowFirstColumn="0" w:firstRowLastColumn="0" w:lastRowFirstColumn="0" w:lastRowLastColumn="0"/>
        </w:trPr>
        <w:tc>
          <w:tcPr>
            <w:tcW w:w="1885" w:type="dxa"/>
          </w:tcPr>
          <w:p w14:paraId="04E49865" w14:textId="3283612E" w:rsidR="004E53FD" w:rsidRDefault="004E53FD" w:rsidP="004E53FD">
            <w:pPr>
              <w:rPr>
                <w:rFonts w:cstheme="minorHAnsi"/>
                <w:sz w:val="20"/>
                <w:szCs w:val="20"/>
              </w:rPr>
            </w:pPr>
            <w:hyperlink r:id="rId89" w:history="1">
              <w:r w:rsidRPr="00D60BB7">
                <w:rPr>
                  <w:rStyle w:val="Hyperlink"/>
                  <w:rFonts w:cstheme="minorHAnsi"/>
                  <w:sz w:val="20"/>
                  <w:szCs w:val="20"/>
                </w:rPr>
                <w:t>Software Accounting Policy</w:t>
              </w:r>
            </w:hyperlink>
            <w:r w:rsidRPr="00056114">
              <w:rPr>
                <w:rFonts w:cstheme="minorHAnsi"/>
                <w:sz w:val="20"/>
                <w:szCs w:val="20"/>
              </w:rPr>
              <w:t xml:space="preserve"> </w:t>
            </w:r>
          </w:p>
          <w:p w14:paraId="1BF49EC9" w14:textId="77777777" w:rsidR="004E53FD" w:rsidRDefault="004E53FD" w:rsidP="004E53FD">
            <w:pPr>
              <w:rPr>
                <w:rFonts w:cstheme="minorHAnsi"/>
                <w:sz w:val="20"/>
                <w:szCs w:val="20"/>
              </w:rPr>
            </w:pPr>
          </w:p>
          <w:p w14:paraId="0F58C819" w14:textId="7EAE54D2" w:rsidR="004E53FD" w:rsidRPr="00056114" w:rsidRDefault="004E53FD" w:rsidP="004E53FD">
            <w:pPr>
              <w:rPr>
                <w:sz w:val="20"/>
                <w:szCs w:val="20"/>
              </w:rPr>
            </w:pPr>
            <w:r w:rsidRPr="6832AC89">
              <w:rPr>
                <w:sz w:val="20"/>
                <w:szCs w:val="20"/>
              </w:rPr>
              <w:t>(previously Accounting for Internally Developed Software)</w:t>
            </w:r>
          </w:p>
        </w:tc>
        <w:tc>
          <w:tcPr>
            <w:tcW w:w="5940" w:type="dxa"/>
          </w:tcPr>
          <w:p w14:paraId="5C012FC3" w14:textId="7B94C06F" w:rsidR="004E53FD" w:rsidRPr="00056114" w:rsidRDefault="004E53FD" w:rsidP="004E53FD">
            <w:pPr>
              <w:pStyle w:val="NoSpacing"/>
              <w:rPr>
                <w:rFonts w:cstheme="minorHAnsi"/>
                <w:sz w:val="20"/>
                <w:szCs w:val="20"/>
                <w:lang w:val="en"/>
              </w:rPr>
            </w:pPr>
            <w:r w:rsidRPr="00064A34">
              <w:rPr>
                <w:rFonts w:cstheme="minorHAnsi"/>
                <w:sz w:val="20"/>
                <w:szCs w:val="20"/>
                <w:shd w:val="clear" w:color="auto" w:fill="FFFFFF" w:themeFill="background1"/>
              </w:rPr>
              <w:t>This policy defines when costs for purchase, and internally developed software or cloud-hosting arrangements must be capitalized at the University. The policy exists to ensure</w:t>
            </w:r>
            <w:r w:rsidRPr="00056114">
              <w:rPr>
                <w:rFonts w:cstheme="minorHAnsi"/>
                <w:sz w:val="20"/>
                <w:szCs w:val="20"/>
              </w:rPr>
              <w:t xml:space="preserve"> adherence with Generally Accepted Accounting Principles (GAAP) and other regulatory requirements, to promote consistent accounting treatment across the University and ensure the operating results of University units are not misstated because of capital expenses unrecorded or recorded.</w:t>
            </w:r>
          </w:p>
        </w:tc>
        <w:tc>
          <w:tcPr>
            <w:tcW w:w="1800" w:type="dxa"/>
          </w:tcPr>
          <w:p w14:paraId="57FFA9E8" w14:textId="77777777" w:rsidR="004E53FD" w:rsidRDefault="004E53FD" w:rsidP="004E53FD">
            <w:pPr>
              <w:pStyle w:val="NoSpacing"/>
              <w:rPr>
                <w:rFonts w:cstheme="minorHAnsi"/>
                <w:sz w:val="20"/>
                <w:szCs w:val="20"/>
              </w:rPr>
            </w:pPr>
            <w:r>
              <w:rPr>
                <w:rFonts w:cstheme="minorHAnsi"/>
                <w:sz w:val="20"/>
                <w:szCs w:val="20"/>
              </w:rPr>
              <w:t>N/A</w:t>
            </w:r>
          </w:p>
          <w:p w14:paraId="011A7DC0" w14:textId="77777777" w:rsidR="004E53FD" w:rsidRPr="00056114" w:rsidRDefault="004E53FD" w:rsidP="004E53FD">
            <w:pPr>
              <w:pStyle w:val="NoSpacing"/>
              <w:rPr>
                <w:rFonts w:cstheme="minorHAnsi"/>
                <w:sz w:val="20"/>
                <w:szCs w:val="20"/>
              </w:rPr>
            </w:pPr>
          </w:p>
        </w:tc>
        <w:tc>
          <w:tcPr>
            <w:tcW w:w="1530" w:type="dxa"/>
          </w:tcPr>
          <w:p w14:paraId="041BCE85" w14:textId="77777777" w:rsidR="004E53FD" w:rsidRDefault="004E53FD" w:rsidP="004E53FD">
            <w:pPr>
              <w:pStyle w:val="NoSpacing"/>
              <w:rPr>
                <w:rFonts w:cstheme="minorHAnsi"/>
                <w:sz w:val="20"/>
                <w:szCs w:val="20"/>
              </w:rPr>
            </w:pPr>
            <w:hyperlink r:id="rId90" w:history="1">
              <w:r w:rsidRPr="005502C6">
                <w:rPr>
                  <w:rStyle w:val="Hyperlink"/>
                  <w:rFonts w:cstheme="minorHAnsi"/>
                  <w:sz w:val="20"/>
                  <w:szCs w:val="20"/>
                </w:rPr>
                <w:t>B2P</w:t>
              </w:r>
            </w:hyperlink>
          </w:p>
          <w:p w14:paraId="74B5AC4B" w14:textId="4768373C" w:rsidR="004E53FD" w:rsidRPr="005B5703" w:rsidRDefault="004E53FD" w:rsidP="004E53FD">
            <w:pPr>
              <w:pStyle w:val="NoSpacing"/>
              <w:rPr>
                <w:rFonts w:cstheme="minorHAnsi"/>
                <w:sz w:val="20"/>
                <w:szCs w:val="20"/>
                <w:highlight w:val="yellow"/>
              </w:rPr>
            </w:pPr>
          </w:p>
        </w:tc>
        <w:tc>
          <w:tcPr>
            <w:tcW w:w="1710" w:type="dxa"/>
          </w:tcPr>
          <w:p w14:paraId="2E8D7CE7" w14:textId="55958201" w:rsidR="004E53FD" w:rsidRPr="005B5703" w:rsidRDefault="004E53FD" w:rsidP="004E53FD">
            <w:pPr>
              <w:pStyle w:val="NoSpacing"/>
              <w:rPr>
                <w:rFonts w:cstheme="minorHAnsi"/>
                <w:sz w:val="20"/>
                <w:szCs w:val="20"/>
                <w:highlight w:val="yellow"/>
              </w:rPr>
            </w:pPr>
            <w:r>
              <w:rPr>
                <w:rFonts w:cstheme="minorHAnsi"/>
                <w:sz w:val="20"/>
                <w:szCs w:val="20"/>
              </w:rPr>
              <w:t>Financial Accounting and Reporting</w:t>
            </w:r>
          </w:p>
        </w:tc>
        <w:tc>
          <w:tcPr>
            <w:tcW w:w="1350" w:type="dxa"/>
          </w:tcPr>
          <w:p w14:paraId="7FA5A309" w14:textId="29361FFD" w:rsidR="004E53FD" w:rsidRPr="0054147F" w:rsidRDefault="004E53FD" w:rsidP="004E53FD">
            <w:pPr>
              <w:pStyle w:val="NoSpacing"/>
              <w:rPr>
                <w:sz w:val="20"/>
                <w:szCs w:val="20"/>
              </w:rPr>
            </w:pPr>
            <w:r w:rsidRPr="0054147F">
              <w:rPr>
                <w:sz w:val="20"/>
                <w:szCs w:val="20"/>
              </w:rPr>
              <w:t>Oracle</w:t>
            </w:r>
          </w:p>
          <w:p w14:paraId="153C9719" w14:textId="1EC7E955" w:rsidR="004E53FD" w:rsidRPr="00056114" w:rsidRDefault="004E53FD" w:rsidP="004E53FD">
            <w:pPr>
              <w:pStyle w:val="NoSpacing"/>
              <w:rPr>
                <w:rFonts w:cstheme="minorHAnsi"/>
                <w:sz w:val="20"/>
                <w:szCs w:val="20"/>
              </w:rPr>
            </w:pPr>
            <w:r>
              <w:rPr>
                <w:rFonts w:cstheme="minorHAnsi"/>
                <w:sz w:val="20"/>
                <w:szCs w:val="20"/>
              </w:rPr>
              <w:t>B2P</w:t>
            </w:r>
          </w:p>
        </w:tc>
      </w:tr>
      <w:tr w:rsidR="004E53FD" w:rsidRPr="00056114" w14:paraId="5FB1ED8F" w14:textId="19778778" w:rsidTr="00725B10">
        <w:tc>
          <w:tcPr>
            <w:tcW w:w="1885" w:type="dxa"/>
            <w:shd w:val="clear" w:color="auto" w:fill="F2F2F2" w:themeFill="background1" w:themeFillShade="F2"/>
          </w:tcPr>
          <w:p w14:paraId="1141736A" w14:textId="3284749C" w:rsidR="004E53FD" w:rsidRPr="00056114" w:rsidRDefault="004E53FD" w:rsidP="004E53FD">
            <w:pPr>
              <w:rPr>
                <w:rFonts w:cstheme="minorHAnsi"/>
                <w:sz w:val="20"/>
                <w:szCs w:val="20"/>
              </w:rPr>
            </w:pPr>
            <w:hyperlink r:id="rId91" w:history="1">
              <w:r w:rsidRPr="00797ABF">
                <w:rPr>
                  <w:rStyle w:val="Hyperlink"/>
                  <w:rFonts w:cstheme="minorHAnsi"/>
                  <w:sz w:val="20"/>
                  <w:szCs w:val="20"/>
                </w:rPr>
                <w:t>Staff Mobile Phone Policy</w:t>
              </w:r>
            </w:hyperlink>
          </w:p>
        </w:tc>
        <w:tc>
          <w:tcPr>
            <w:tcW w:w="5940" w:type="dxa"/>
            <w:shd w:val="clear" w:color="auto" w:fill="F2F2F2" w:themeFill="background1" w:themeFillShade="F2"/>
          </w:tcPr>
          <w:p w14:paraId="10EE05E6" w14:textId="77777777" w:rsidR="004E53FD" w:rsidRDefault="004E53FD" w:rsidP="004E53FD">
            <w:pPr>
              <w:pStyle w:val="NoSpacing"/>
              <w:rPr>
                <w:sz w:val="20"/>
                <w:szCs w:val="20"/>
              </w:rPr>
            </w:pPr>
            <w:r w:rsidRPr="413D0DB4">
              <w:rPr>
                <w:sz w:val="20"/>
                <w:szCs w:val="20"/>
              </w:rPr>
              <w:t xml:space="preserve">This policy establishes specific job-based eligibility criteria for Harvard staff to receive University-provided </w:t>
            </w:r>
            <w:r w:rsidRPr="413D0DB4">
              <w:rPr>
                <w:rStyle w:val="Strong"/>
                <w:b w:val="0"/>
                <w:sz w:val="20"/>
                <w:szCs w:val="20"/>
              </w:rPr>
              <w:t>funding for voice, text, or data plans</w:t>
            </w:r>
            <w:r w:rsidRPr="413D0DB4">
              <w:rPr>
                <w:sz w:val="20"/>
                <w:szCs w:val="20"/>
              </w:rPr>
              <w:t>.</w:t>
            </w:r>
          </w:p>
          <w:p w14:paraId="16F56860" w14:textId="09DDB43E" w:rsidR="00C959A6" w:rsidRPr="00056114" w:rsidRDefault="00C959A6" w:rsidP="004E53FD">
            <w:pPr>
              <w:pStyle w:val="NoSpacing"/>
              <w:rPr>
                <w:rFonts w:cstheme="minorHAnsi"/>
                <w:sz w:val="20"/>
                <w:szCs w:val="20"/>
              </w:rPr>
            </w:pPr>
          </w:p>
        </w:tc>
        <w:tc>
          <w:tcPr>
            <w:tcW w:w="1800" w:type="dxa"/>
            <w:shd w:val="clear" w:color="auto" w:fill="F2F2F2" w:themeFill="background1" w:themeFillShade="F2"/>
          </w:tcPr>
          <w:p w14:paraId="60B48747" w14:textId="0489C0C5" w:rsidR="004E53FD" w:rsidRPr="00056114" w:rsidRDefault="004E53FD" w:rsidP="004E53FD">
            <w:pPr>
              <w:pStyle w:val="NoSpacing"/>
              <w:rPr>
                <w:sz w:val="20"/>
                <w:szCs w:val="20"/>
                <w:lang w:val="en"/>
              </w:rPr>
            </w:pPr>
            <w:r>
              <w:rPr>
                <w:sz w:val="20"/>
                <w:szCs w:val="20"/>
                <w:lang w:val="en"/>
              </w:rPr>
              <w:t>N/A</w:t>
            </w:r>
            <w:r w:rsidRPr="00056114">
              <w:rPr>
                <w:sz w:val="20"/>
                <w:szCs w:val="20"/>
                <w:lang w:val="en"/>
              </w:rPr>
              <w:t xml:space="preserve"> </w:t>
            </w:r>
          </w:p>
        </w:tc>
        <w:tc>
          <w:tcPr>
            <w:tcW w:w="1530" w:type="dxa"/>
            <w:shd w:val="clear" w:color="auto" w:fill="F2F2F2" w:themeFill="background1" w:themeFillShade="F2"/>
          </w:tcPr>
          <w:p w14:paraId="7955DDF3" w14:textId="77777777" w:rsidR="004E53FD" w:rsidRDefault="004E53FD" w:rsidP="004E53FD">
            <w:pPr>
              <w:pStyle w:val="NoSpacing"/>
              <w:rPr>
                <w:rFonts w:cstheme="minorHAnsi"/>
                <w:sz w:val="20"/>
                <w:szCs w:val="20"/>
              </w:rPr>
            </w:pPr>
            <w:hyperlink r:id="rId92" w:history="1">
              <w:r w:rsidRPr="009E1D08">
                <w:rPr>
                  <w:rStyle w:val="Hyperlink"/>
                  <w:rFonts w:cstheme="minorHAnsi"/>
                  <w:sz w:val="20"/>
                  <w:szCs w:val="20"/>
                </w:rPr>
                <w:t>Concur</w:t>
              </w:r>
            </w:hyperlink>
          </w:p>
          <w:p w14:paraId="437E39E9" w14:textId="2437521D" w:rsidR="004E53FD" w:rsidRDefault="004E53FD" w:rsidP="004E53FD">
            <w:pPr>
              <w:pStyle w:val="NoSpacing"/>
              <w:rPr>
                <w:sz w:val="20"/>
                <w:szCs w:val="20"/>
                <w:lang w:val="en"/>
              </w:rPr>
            </w:pPr>
          </w:p>
        </w:tc>
        <w:tc>
          <w:tcPr>
            <w:tcW w:w="1710" w:type="dxa"/>
            <w:shd w:val="clear" w:color="auto" w:fill="F2F2F2" w:themeFill="background1" w:themeFillShade="F2"/>
          </w:tcPr>
          <w:p w14:paraId="1ECF3EB4" w14:textId="6031B57E" w:rsidR="004E53FD" w:rsidRDefault="004E53FD" w:rsidP="004E53FD">
            <w:pPr>
              <w:pStyle w:val="NoSpacing"/>
              <w:rPr>
                <w:sz w:val="20"/>
                <w:szCs w:val="20"/>
                <w:lang w:val="en"/>
              </w:rPr>
            </w:pPr>
            <w:r>
              <w:rPr>
                <w:sz w:val="20"/>
                <w:szCs w:val="20"/>
                <w:lang w:val="en"/>
              </w:rPr>
              <w:t>Financial Policy Office</w:t>
            </w:r>
          </w:p>
        </w:tc>
        <w:tc>
          <w:tcPr>
            <w:tcW w:w="1350" w:type="dxa"/>
            <w:shd w:val="clear" w:color="auto" w:fill="F2F2F2" w:themeFill="background1" w:themeFillShade="F2"/>
          </w:tcPr>
          <w:p w14:paraId="58ECA8C4" w14:textId="38CCAB2A" w:rsidR="004E53FD" w:rsidRDefault="004E53FD" w:rsidP="004E53FD">
            <w:pPr>
              <w:pStyle w:val="NoSpacing"/>
              <w:rPr>
                <w:sz w:val="20"/>
                <w:szCs w:val="20"/>
                <w:lang w:val="en"/>
              </w:rPr>
            </w:pPr>
            <w:r>
              <w:rPr>
                <w:sz w:val="20"/>
                <w:szCs w:val="20"/>
                <w:lang w:val="en"/>
              </w:rPr>
              <w:t>Concur</w:t>
            </w:r>
          </w:p>
          <w:p w14:paraId="3EC75075" w14:textId="77777777" w:rsidR="004E53FD" w:rsidRDefault="004E53FD" w:rsidP="004E53FD">
            <w:pPr>
              <w:pStyle w:val="NoSpacing"/>
              <w:rPr>
                <w:sz w:val="20"/>
                <w:szCs w:val="20"/>
                <w:lang w:val="en"/>
              </w:rPr>
            </w:pPr>
            <w:r>
              <w:rPr>
                <w:sz w:val="20"/>
                <w:szCs w:val="20"/>
                <w:lang w:val="en"/>
              </w:rPr>
              <w:t>PeopleSoft</w:t>
            </w:r>
          </w:p>
          <w:p w14:paraId="1994C204" w14:textId="259EBC98" w:rsidR="004E53FD" w:rsidRPr="00056114" w:rsidRDefault="004E53FD" w:rsidP="004E53FD">
            <w:pPr>
              <w:pStyle w:val="NoSpacing"/>
              <w:rPr>
                <w:sz w:val="20"/>
                <w:szCs w:val="20"/>
                <w:lang w:val="en"/>
              </w:rPr>
            </w:pPr>
          </w:p>
        </w:tc>
      </w:tr>
      <w:tr w:rsidR="004E53FD" w:rsidRPr="00056114" w14:paraId="775EEFCA" w14:textId="19E22386" w:rsidTr="00B50AAC">
        <w:trPr>
          <w:cnfStyle w:val="000000010000" w:firstRow="0" w:lastRow="0" w:firstColumn="0" w:lastColumn="0" w:oddVBand="0" w:evenVBand="0" w:oddHBand="0" w:evenHBand="1" w:firstRowFirstColumn="0" w:firstRowLastColumn="0" w:lastRowFirstColumn="0" w:lastRowLastColumn="0"/>
        </w:trPr>
        <w:tc>
          <w:tcPr>
            <w:tcW w:w="1885" w:type="dxa"/>
          </w:tcPr>
          <w:p w14:paraId="376A6087" w14:textId="472B0007" w:rsidR="004E53FD" w:rsidRPr="00056114" w:rsidRDefault="004E53FD" w:rsidP="004E53FD">
            <w:pPr>
              <w:rPr>
                <w:rFonts w:cstheme="minorHAnsi"/>
                <w:sz w:val="20"/>
                <w:szCs w:val="20"/>
              </w:rPr>
            </w:pPr>
            <w:hyperlink r:id="rId93" w:history="1">
              <w:r w:rsidRPr="004F6F0D">
                <w:rPr>
                  <w:rStyle w:val="Hyperlink"/>
                  <w:rFonts w:cstheme="minorHAnsi"/>
                  <w:sz w:val="20"/>
                  <w:szCs w:val="20"/>
                </w:rPr>
                <w:t>Tax Compliance for External Revenue-Generating Activities in the U.S.</w:t>
              </w:r>
            </w:hyperlink>
          </w:p>
        </w:tc>
        <w:tc>
          <w:tcPr>
            <w:tcW w:w="5940" w:type="dxa"/>
          </w:tcPr>
          <w:p w14:paraId="3D0E3A98" w14:textId="77777777" w:rsidR="004E53FD" w:rsidRDefault="004E53FD" w:rsidP="004E53FD">
            <w:pPr>
              <w:pStyle w:val="NoSpacing"/>
              <w:rPr>
                <w:rFonts w:cstheme="minorHAnsi"/>
                <w:sz w:val="20"/>
                <w:szCs w:val="20"/>
              </w:rPr>
            </w:pPr>
            <w:r w:rsidRPr="00056114">
              <w:rPr>
                <w:rFonts w:cstheme="minorHAnsi"/>
                <w:sz w:val="20"/>
                <w:szCs w:val="20"/>
              </w:rPr>
              <w:t xml:space="preserve">Activities that generate income from external sources are potentially subject to taxation, specifically income tax and sales tax. While most of Harvard’s income is tax-exempt, as a 501 (c)(3) institution, Harvard University is subject to unrelated business income tax (UBIT) on </w:t>
            </w:r>
            <w:r w:rsidRPr="00056114">
              <w:rPr>
                <w:rFonts w:cstheme="minorHAnsi"/>
                <w:sz w:val="20"/>
                <w:szCs w:val="20"/>
              </w:rPr>
              <w:lastRenderedPageBreak/>
              <w:t xml:space="preserve">activities not substantially related to education and research. This policy establishes the protocols for reporting and remitting income and sales tax on sales made by the University. </w:t>
            </w:r>
          </w:p>
          <w:p w14:paraId="0B7089B1" w14:textId="2F1DA7CD" w:rsidR="00C959A6" w:rsidRPr="00056114" w:rsidRDefault="00C959A6" w:rsidP="004E53FD">
            <w:pPr>
              <w:pStyle w:val="NoSpacing"/>
              <w:rPr>
                <w:rFonts w:cstheme="minorHAnsi"/>
                <w:sz w:val="20"/>
                <w:szCs w:val="20"/>
              </w:rPr>
            </w:pPr>
          </w:p>
        </w:tc>
        <w:tc>
          <w:tcPr>
            <w:tcW w:w="1800" w:type="dxa"/>
          </w:tcPr>
          <w:p w14:paraId="7DB9B241" w14:textId="77777777" w:rsidR="004E53FD" w:rsidRDefault="004E53FD" w:rsidP="004E53FD">
            <w:pPr>
              <w:pStyle w:val="NoSpacing"/>
              <w:rPr>
                <w:rFonts w:cstheme="minorHAnsi"/>
                <w:sz w:val="20"/>
                <w:szCs w:val="20"/>
              </w:rPr>
            </w:pPr>
            <w:r>
              <w:rPr>
                <w:rFonts w:cstheme="minorHAnsi"/>
                <w:sz w:val="20"/>
                <w:szCs w:val="20"/>
              </w:rPr>
              <w:lastRenderedPageBreak/>
              <w:t>N/A</w:t>
            </w:r>
          </w:p>
          <w:p w14:paraId="48BDBE10" w14:textId="77777777" w:rsidR="004E53FD" w:rsidRPr="00056114" w:rsidRDefault="004E53FD" w:rsidP="004E53FD">
            <w:pPr>
              <w:pStyle w:val="NoSpacing"/>
              <w:rPr>
                <w:rFonts w:cstheme="minorHAnsi"/>
                <w:sz w:val="20"/>
                <w:szCs w:val="20"/>
              </w:rPr>
            </w:pPr>
          </w:p>
        </w:tc>
        <w:tc>
          <w:tcPr>
            <w:tcW w:w="1530" w:type="dxa"/>
          </w:tcPr>
          <w:p w14:paraId="323B75A2" w14:textId="77777777" w:rsidR="004E53FD" w:rsidRDefault="004E53FD" w:rsidP="004E53FD">
            <w:pPr>
              <w:pStyle w:val="NoSpacing"/>
              <w:rPr>
                <w:rFonts w:cstheme="minorHAnsi"/>
                <w:sz w:val="20"/>
                <w:szCs w:val="20"/>
              </w:rPr>
            </w:pPr>
            <w:hyperlink r:id="rId94" w:history="1">
              <w:r w:rsidRPr="005502C6">
                <w:rPr>
                  <w:rStyle w:val="Hyperlink"/>
                  <w:rFonts w:cstheme="minorHAnsi"/>
                  <w:sz w:val="20"/>
                  <w:szCs w:val="20"/>
                </w:rPr>
                <w:t>B2P</w:t>
              </w:r>
            </w:hyperlink>
          </w:p>
          <w:p w14:paraId="14B265E6" w14:textId="3FAB85DE" w:rsidR="004E53FD" w:rsidRDefault="004E53FD" w:rsidP="004E53FD">
            <w:pPr>
              <w:pStyle w:val="NoSpacing"/>
              <w:rPr>
                <w:rFonts w:cstheme="minorHAnsi"/>
                <w:sz w:val="20"/>
                <w:szCs w:val="20"/>
              </w:rPr>
            </w:pPr>
          </w:p>
        </w:tc>
        <w:tc>
          <w:tcPr>
            <w:tcW w:w="1710" w:type="dxa"/>
          </w:tcPr>
          <w:p w14:paraId="3654638B" w14:textId="1A1CF1EF" w:rsidR="004E53FD" w:rsidRDefault="004E53FD" w:rsidP="004E53FD">
            <w:pPr>
              <w:pStyle w:val="NoSpacing"/>
              <w:rPr>
                <w:rFonts w:cstheme="minorHAnsi"/>
                <w:sz w:val="20"/>
                <w:szCs w:val="20"/>
              </w:rPr>
            </w:pPr>
            <w:r>
              <w:rPr>
                <w:rFonts w:cstheme="minorHAnsi"/>
                <w:sz w:val="20"/>
                <w:szCs w:val="20"/>
              </w:rPr>
              <w:t>Tax Services</w:t>
            </w:r>
          </w:p>
        </w:tc>
        <w:tc>
          <w:tcPr>
            <w:tcW w:w="1350" w:type="dxa"/>
          </w:tcPr>
          <w:p w14:paraId="19B03AF6" w14:textId="3C91897D" w:rsidR="004E53FD" w:rsidRDefault="004E53FD" w:rsidP="004E53FD">
            <w:pPr>
              <w:pStyle w:val="NoSpacing"/>
              <w:rPr>
                <w:rFonts w:cstheme="minorHAnsi"/>
                <w:sz w:val="20"/>
                <w:szCs w:val="20"/>
              </w:rPr>
            </w:pPr>
            <w:r>
              <w:rPr>
                <w:rFonts w:cstheme="minorHAnsi"/>
                <w:sz w:val="20"/>
                <w:szCs w:val="20"/>
              </w:rPr>
              <w:t>B2P</w:t>
            </w:r>
          </w:p>
          <w:p w14:paraId="18D2A7F1" w14:textId="77777777" w:rsidR="004E53FD" w:rsidRPr="00056114" w:rsidRDefault="004E53FD" w:rsidP="004E53FD">
            <w:pPr>
              <w:rPr>
                <w:rFonts w:cstheme="minorHAnsi"/>
                <w:b/>
                <w:sz w:val="20"/>
                <w:szCs w:val="20"/>
              </w:rPr>
            </w:pPr>
            <w:r w:rsidRPr="00056114">
              <w:rPr>
                <w:rFonts w:cstheme="minorHAnsi"/>
                <w:sz w:val="20"/>
                <w:szCs w:val="20"/>
              </w:rPr>
              <w:t>Oracle</w:t>
            </w:r>
          </w:p>
          <w:p w14:paraId="13798261" w14:textId="77777777" w:rsidR="004E53FD" w:rsidRPr="00056114" w:rsidRDefault="004E53FD" w:rsidP="004E53FD">
            <w:pPr>
              <w:pStyle w:val="NoSpacing"/>
              <w:rPr>
                <w:rFonts w:cstheme="minorHAnsi"/>
                <w:sz w:val="20"/>
                <w:szCs w:val="20"/>
              </w:rPr>
            </w:pPr>
          </w:p>
        </w:tc>
      </w:tr>
      <w:tr w:rsidR="006D74F7" w:rsidRPr="00056114" w14:paraId="23C10DC0" w14:textId="5EAD7019" w:rsidTr="00725B10">
        <w:tc>
          <w:tcPr>
            <w:tcW w:w="1885" w:type="dxa"/>
            <w:shd w:val="clear" w:color="auto" w:fill="F2F2F2" w:themeFill="background1" w:themeFillShade="F2"/>
          </w:tcPr>
          <w:p w14:paraId="5F113E76" w14:textId="4D1095C2" w:rsidR="006D74F7" w:rsidRPr="00056114" w:rsidRDefault="006D74F7" w:rsidP="006D74F7">
            <w:pPr>
              <w:rPr>
                <w:rFonts w:cstheme="minorHAnsi"/>
                <w:sz w:val="20"/>
                <w:szCs w:val="20"/>
              </w:rPr>
            </w:pPr>
            <w:hyperlink r:id="rId95" w:history="1">
              <w:r w:rsidRPr="00630AF0">
                <w:rPr>
                  <w:rStyle w:val="Hyperlink"/>
                  <w:rFonts w:cstheme="minorHAnsi"/>
                  <w:sz w:val="20"/>
                  <w:szCs w:val="20"/>
                </w:rPr>
                <w:t>Time Entry and Approval for Non-exempt employees</w:t>
              </w:r>
            </w:hyperlink>
          </w:p>
        </w:tc>
        <w:tc>
          <w:tcPr>
            <w:tcW w:w="5940" w:type="dxa"/>
            <w:shd w:val="clear" w:color="auto" w:fill="F2F2F2" w:themeFill="background1" w:themeFillShade="F2"/>
          </w:tcPr>
          <w:p w14:paraId="7651AA39" w14:textId="77777777" w:rsidR="006D74F7" w:rsidRDefault="006D74F7" w:rsidP="00FA4BEC">
            <w:pPr>
              <w:pStyle w:val="NoSpacing"/>
              <w:rPr>
                <w:sz w:val="20"/>
                <w:szCs w:val="20"/>
              </w:rPr>
            </w:pPr>
            <w:r w:rsidRPr="413D0DB4">
              <w:rPr>
                <w:sz w:val="20"/>
                <w:szCs w:val="20"/>
              </w:rPr>
              <w:t>This policy provides guidance to all non-exempt employees, employees who are eligible for overtime under the Fair Labor Standards Act (FLSA), and their Time Approvers regarding the reporting and approval of hours worked and absences.</w:t>
            </w:r>
          </w:p>
          <w:p w14:paraId="33963020" w14:textId="592490FD" w:rsidR="00C959A6" w:rsidRPr="00056114" w:rsidRDefault="00C959A6" w:rsidP="00FA4BEC">
            <w:pPr>
              <w:pStyle w:val="NoSpacing"/>
              <w:rPr>
                <w:rFonts w:cstheme="minorHAnsi"/>
                <w:sz w:val="20"/>
                <w:szCs w:val="20"/>
              </w:rPr>
            </w:pPr>
          </w:p>
        </w:tc>
        <w:tc>
          <w:tcPr>
            <w:tcW w:w="1800" w:type="dxa"/>
            <w:shd w:val="clear" w:color="auto" w:fill="F2F2F2" w:themeFill="background1" w:themeFillShade="F2"/>
          </w:tcPr>
          <w:p w14:paraId="3647B1ED" w14:textId="1AF27365" w:rsidR="006D74F7" w:rsidRPr="00056114" w:rsidRDefault="006D74F7" w:rsidP="006D74F7">
            <w:pPr>
              <w:pStyle w:val="NoSpacing"/>
              <w:rPr>
                <w:sz w:val="20"/>
                <w:szCs w:val="20"/>
                <w:lang w:val="en"/>
              </w:rPr>
            </w:pPr>
            <w:hyperlink r:id="rId96" w:history="1">
              <w:r w:rsidRPr="00A441CF">
                <w:rPr>
                  <w:rStyle w:val="Hyperlink"/>
                  <w:sz w:val="20"/>
                  <w:szCs w:val="20"/>
                  <w:lang w:val="en"/>
                </w:rPr>
                <w:t>Hire to Pay</w:t>
              </w:r>
            </w:hyperlink>
          </w:p>
        </w:tc>
        <w:tc>
          <w:tcPr>
            <w:tcW w:w="1530" w:type="dxa"/>
            <w:shd w:val="clear" w:color="auto" w:fill="F2F2F2" w:themeFill="background1" w:themeFillShade="F2"/>
          </w:tcPr>
          <w:p w14:paraId="5DEC6EB9" w14:textId="4DBD653A" w:rsidR="006D74F7" w:rsidRDefault="006D74F7" w:rsidP="006D74F7">
            <w:pPr>
              <w:pStyle w:val="NoSpacing"/>
              <w:rPr>
                <w:rFonts w:cstheme="minorHAnsi"/>
                <w:sz w:val="20"/>
                <w:szCs w:val="20"/>
              </w:rPr>
            </w:pPr>
            <w:r>
              <w:rPr>
                <w:sz w:val="20"/>
                <w:szCs w:val="20"/>
                <w:lang w:val="en"/>
              </w:rPr>
              <w:t>N/A</w:t>
            </w:r>
            <w:r w:rsidRPr="00056114">
              <w:rPr>
                <w:sz w:val="20"/>
                <w:szCs w:val="20"/>
                <w:lang w:val="en"/>
              </w:rPr>
              <w:t xml:space="preserve"> </w:t>
            </w:r>
          </w:p>
        </w:tc>
        <w:tc>
          <w:tcPr>
            <w:tcW w:w="1710" w:type="dxa"/>
            <w:shd w:val="clear" w:color="auto" w:fill="F2F2F2" w:themeFill="background1" w:themeFillShade="F2"/>
          </w:tcPr>
          <w:p w14:paraId="096A0EB5" w14:textId="574D7036" w:rsidR="006D74F7" w:rsidRDefault="006D74F7" w:rsidP="006D74F7">
            <w:pPr>
              <w:pStyle w:val="NoSpacing"/>
              <w:rPr>
                <w:rFonts w:cstheme="minorHAnsi"/>
                <w:sz w:val="20"/>
                <w:szCs w:val="20"/>
              </w:rPr>
            </w:pPr>
            <w:r>
              <w:rPr>
                <w:rFonts w:cstheme="minorHAnsi"/>
                <w:sz w:val="20"/>
                <w:szCs w:val="20"/>
              </w:rPr>
              <w:t>Central Payroll</w:t>
            </w:r>
          </w:p>
        </w:tc>
        <w:tc>
          <w:tcPr>
            <w:tcW w:w="1350" w:type="dxa"/>
            <w:shd w:val="clear" w:color="auto" w:fill="F2F2F2" w:themeFill="background1" w:themeFillShade="F2"/>
          </w:tcPr>
          <w:p w14:paraId="3EB2634C" w14:textId="480BD7FE" w:rsidR="006D74F7" w:rsidRPr="00056114" w:rsidRDefault="006D74F7" w:rsidP="006D74F7">
            <w:pPr>
              <w:pStyle w:val="NoSpacing"/>
              <w:rPr>
                <w:sz w:val="20"/>
                <w:szCs w:val="20"/>
                <w:lang w:val="en"/>
              </w:rPr>
            </w:pPr>
            <w:r>
              <w:rPr>
                <w:rFonts w:cstheme="minorHAnsi"/>
                <w:sz w:val="20"/>
                <w:szCs w:val="20"/>
              </w:rPr>
              <w:t>PeopleSoft</w:t>
            </w:r>
          </w:p>
        </w:tc>
      </w:tr>
      <w:tr w:rsidR="006D74F7" w:rsidRPr="00056114" w14:paraId="60A8F225" w14:textId="0C134F96" w:rsidTr="00B50AAC">
        <w:trPr>
          <w:cnfStyle w:val="000000010000" w:firstRow="0" w:lastRow="0" w:firstColumn="0" w:lastColumn="0" w:oddVBand="0" w:evenVBand="0" w:oddHBand="0" w:evenHBand="1" w:firstRowFirstColumn="0" w:firstRowLastColumn="0" w:lastRowFirstColumn="0" w:lastRowLastColumn="0"/>
        </w:trPr>
        <w:tc>
          <w:tcPr>
            <w:tcW w:w="1885" w:type="dxa"/>
          </w:tcPr>
          <w:p w14:paraId="102203D5" w14:textId="2D308D52" w:rsidR="006D74F7" w:rsidRPr="00056114" w:rsidRDefault="006D74F7" w:rsidP="006D74F7">
            <w:pPr>
              <w:rPr>
                <w:rFonts w:cstheme="minorHAnsi"/>
                <w:sz w:val="20"/>
                <w:szCs w:val="20"/>
              </w:rPr>
            </w:pPr>
            <w:hyperlink r:id="rId97" w:history="1">
              <w:r w:rsidRPr="00D8011B">
                <w:rPr>
                  <w:rStyle w:val="Hyperlink"/>
                  <w:rFonts w:cstheme="minorHAnsi"/>
                  <w:sz w:val="20"/>
                  <w:szCs w:val="20"/>
                </w:rPr>
                <w:t>Travel</w:t>
              </w:r>
            </w:hyperlink>
          </w:p>
        </w:tc>
        <w:tc>
          <w:tcPr>
            <w:tcW w:w="5940" w:type="dxa"/>
          </w:tcPr>
          <w:p w14:paraId="207FC4AD" w14:textId="0A637364" w:rsidR="006D74F7" w:rsidRPr="00056114" w:rsidRDefault="006D74F7" w:rsidP="006D74F7">
            <w:pPr>
              <w:pStyle w:val="NoSpacing"/>
              <w:rPr>
                <w:sz w:val="20"/>
                <w:szCs w:val="20"/>
              </w:rPr>
            </w:pPr>
            <w:r w:rsidRPr="19A573B4">
              <w:rPr>
                <w:sz w:val="20"/>
                <w:szCs w:val="20"/>
              </w:rPr>
              <w:t>This policy establishes how Harvard University will reimburse individuals for travel expenses incurred conducting University business. As a public charity that benefits from gifts by donors and sponsored awards, Harvard University has a stewardship obligation to use its funds prudently; all Harvard University employees must use University resources wisely and in the fullest support of Harvard’s mission of education and research.</w:t>
            </w:r>
          </w:p>
        </w:tc>
        <w:tc>
          <w:tcPr>
            <w:tcW w:w="1800" w:type="dxa"/>
          </w:tcPr>
          <w:p w14:paraId="0148A7EF" w14:textId="0A75DF02" w:rsidR="006D74F7" w:rsidRPr="00056114" w:rsidRDefault="006D74F7" w:rsidP="006D74F7">
            <w:pPr>
              <w:pStyle w:val="NoSpacing"/>
              <w:rPr>
                <w:rFonts w:cstheme="minorHAnsi"/>
                <w:sz w:val="20"/>
                <w:szCs w:val="20"/>
              </w:rPr>
            </w:pPr>
            <w:hyperlink r:id="rId98" w:history="1">
              <w:r w:rsidRPr="00345464">
                <w:rPr>
                  <w:rStyle w:val="Hyperlink"/>
                  <w:rFonts w:cstheme="minorHAnsi"/>
                  <w:sz w:val="20"/>
                  <w:szCs w:val="20"/>
                </w:rPr>
                <w:t>Business Expenses Reimbursement (Concur)</w:t>
              </w:r>
            </w:hyperlink>
          </w:p>
        </w:tc>
        <w:tc>
          <w:tcPr>
            <w:tcW w:w="1530" w:type="dxa"/>
          </w:tcPr>
          <w:p w14:paraId="195AE169" w14:textId="77777777" w:rsidR="00B2192E" w:rsidRDefault="00B2192E" w:rsidP="00B2192E">
            <w:pPr>
              <w:pStyle w:val="NoSpacing"/>
              <w:spacing w:after="120"/>
              <w:rPr>
                <w:rFonts w:cstheme="minorHAnsi"/>
                <w:sz w:val="20"/>
                <w:szCs w:val="20"/>
              </w:rPr>
            </w:pPr>
            <w:hyperlink r:id="rId99" w:history="1">
              <w:r w:rsidRPr="005502C6">
                <w:rPr>
                  <w:rStyle w:val="Hyperlink"/>
                  <w:rFonts w:cstheme="minorHAnsi"/>
                  <w:sz w:val="20"/>
                  <w:szCs w:val="20"/>
                </w:rPr>
                <w:t>B2P</w:t>
              </w:r>
            </w:hyperlink>
          </w:p>
          <w:p w14:paraId="4E862820" w14:textId="77777777" w:rsidR="00B2192E" w:rsidRDefault="00B2192E" w:rsidP="00B2192E">
            <w:pPr>
              <w:pStyle w:val="NoSpacing"/>
              <w:spacing w:after="120"/>
              <w:rPr>
                <w:rFonts w:cstheme="minorHAnsi"/>
                <w:sz w:val="20"/>
                <w:szCs w:val="20"/>
              </w:rPr>
            </w:pPr>
            <w:hyperlink r:id="rId100" w:history="1">
              <w:r w:rsidRPr="009E1D08">
                <w:rPr>
                  <w:rStyle w:val="Hyperlink"/>
                  <w:rFonts w:cstheme="minorHAnsi"/>
                  <w:sz w:val="20"/>
                  <w:szCs w:val="20"/>
                </w:rPr>
                <w:t>Concur</w:t>
              </w:r>
            </w:hyperlink>
          </w:p>
          <w:p w14:paraId="34EE1D26" w14:textId="62A42555" w:rsidR="006D74F7" w:rsidRDefault="006D74F7" w:rsidP="006D74F7">
            <w:pPr>
              <w:pStyle w:val="NoSpacing"/>
              <w:rPr>
                <w:rFonts w:cstheme="minorHAnsi"/>
                <w:sz w:val="20"/>
                <w:szCs w:val="20"/>
              </w:rPr>
            </w:pPr>
          </w:p>
        </w:tc>
        <w:tc>
          <w:tcPr>
            <w:tcW w:w="1710" w:type="dxa"/>
          </w:tcPr>
          <w:p w14:paraId="327CD59B" w14:textId="45D12EDC" w:rsidR="006D74F7" w:rsidRDefault="006D74F7" w:rsidP="006D74F7">
            <w:pPr>
              <w:pStyle w:val="NoSpacing"/>
              <w:rPr>
                <w:rFonts w:cstheme="minorHAnsi"/>
                <w:sz w:val="20"/>
                <w:szCs w:val="20"/>
              </w:rPr>
            </w:pPr>
            <w:r w:rsidRPr="00093A07">
              <w:rPr>
                <w:rFonts w:cstheme="minorHAnsi"/>
                <w:sz w:val="20"/>
                <w:szCs w:val="20"/>
              </w:rPr>
              <w:t>Travel, Reimbursements</w:t>
            </w:r>
            <w:r>
              <w:rPr>
                <w:rFonts w:cstheme="minorHAnsi"/>
                <w:sz w:val="20"/>
                <w:szCs w:val="20"/>
              </w:rPr>
              <w:t>,</w:t>
            </w:r>
            <w:r w:rsidRPr="00093A07">
              <w:rPr>
                <w:rFonts w:cstheme="minorHAnsi"/>
                <w:sz w:val="20"/>
                <w:szCs w:val="20"/>
              </w:rPr>
              <w:t xml:space="preserve"> and Card Services</w:t>
            </w:r>
          </w:p>
        </w:tc>
        <w:tc>
          <w:tcPr>
            <w:tcW w:w="1350" w:type="dxa"/>
          </w:tcPr>
          <w:p w14:paraId="5A1B15E6" w14:textId="124D1720" w:rsidR="006D74F7" w:rsidRDefault="006D74F7" w:rsidP="006D74F7">
            <w:pPr>
              <w:pStyle w:val="NoSpacing"/>
              <w:rPr>
                <w:rFonts w:cstheme="minorHAnsi"/>
                <w:sz w:val="20"/>
                <w:szCs w:val="20"/>
              </w:rPr>
            </w:pPr>
            <w:r>
              <w:rPr>
                <w:rFonts w:cstheme="minorHAnsi"/>
                <w:sz w:val="20"/>
                <w:szCs w:val="20"/>
              </w:rPr>
              <w:t>B2P</w:t>
            </w:r>
          </w:p>
          <w:p w14:paraId="5C2402BA" w14:textId="77777777" w:rsidR="006D74F7" w:rsidRDefault="006D74F7" w:rsidP="006D74F7">
            <w:pPr>
              <w:pStyle w:val="NoSpacing"/>
              <w:rPr>
                <w:rFonts w:cstheme="minorHAnsi"/>
                <w:sz w:val="20"/>
                <w:szCs w:val="20"/>
              </w:rPr>
            </w:pPr>
            <w:r>
              <w:rPr>
                <w:rFonts w:cstheme="minorHAnsi"/>
                <w:sz w:val="20"/>
                <w:szCs w:val="20"/>
              </w:rPr>
              <w:t>Concur</w:t>
            </w:r>
          </w:p>
          <w:p w14:paraId="6C89822B" w14:textId="77777777" w:rsidR="006D74F7" w:rsidRPr="00056114" w:rsidRDefault="006D74F7" w:rsidP="006D74F7">
            <w:pPr>
              <w:rPr>
                <w:rFonts w:cstheme="minorHAnsi"/>
                <w:b/>
                <w:sz w:val="20"/>
                <w:szCs w:val="20"/>
              </w:rPr>
            </w:pPr>
            <w:r w:rsidRPr="00056114">
              <w:rPr>
                <w:rFonts w:cstheme="minorHAnsi"/>
                <w:sz w:val="20"/>
                <w:szCs w:val="20"/>
              </w:rPr>
              <w:t>Oracle</w:t>
            </w:r>
          </w:p>
          <w:p w14:paraId="6566AE7B" w14:textId="77777777" w:rsidR="006D74F7" w:rsidRDefault="006D74F7" w:rsidP="006D74F7">
            <w:pPr>
              <w:pStyle w:val="NoSpacing"/>
              <w:rPr>
                <w:rFonts w:cstheme="minorHAnsi"/>
                <w:sz w:val="20"/>
                <w:szCs w:val="20"/>
              </w:rPr>
            </w:pPr>
          </w:p>
          <w:p w14:paraId="5C75BBFB" w14:textId="77777777" w:rsidR="006D74F7" w:rsidRPr="00AE7D18" w:rsidRDefault="006D74F7" w:rsidP="006D74F7"/>
          <w:p w14:paraId="0737900E" w14:textId="77777777" w:rsidR="006D74F7" w:rsidRPr="00AE7D18" w:rsidRDefault="006D74F7" w:rsidP="006D74F7"/>
          <w:p w14:paraId="43753E11" w14:textId="77777777" w:rsidR="006D74F7" w:rsidRDefault="006D74F7" w:rsidP="006D74F7">
            <w:pPr>
              <w:rPr>
                <w:rFonts w:cstheme="minorHAnsi"/>
                <w:sz w:val="20"/>
                <w:szCs w:val="20"/>
              </w:rPr>
            </w:pPr>
          </w:p>
          <w:p w14:paraId="032C89A5" w14:textId="77777777" w:rsidR="006D74F7" w:rsidRDefault="006D74F7" w:rsidP="006D74F7">
            <w:pPr>
              <w:rPr>
                <w:rFonts w:cstheme="minorHAnsi"/>
                <w:sz w:val="20"/>
                <w:szCs w:val="20"/>
              </w:rPr>
            </w:pPr>
          </w:p>
          <w:p w14:paraId="5BE0ED41" w14:textId="77777777" w:rsidR="006D74F7" w:rsidRPr="00AE7D18" w:rsidRDefault="006D74F7" w:rsidP="006D74F7">
            <w:pPr>
              <w:jc w:val="center"/>
            </w:pPr>
          </w:p>
        </w:tc>
      </w:tr>
      <w:tr w:rsidR="006D74F7" w:rsidRPr="00056114" w14:paraId="429C3C0B" w14:textId="77777777" w:rsidTr="00725B10">
        <w:tc>
          <w:tcPr>
            <w:tcW w:w="1885" w:type="dxa"/>
            <w:shd w:val="clear" w:color="auto" w:fill="F2F2F2" w:themeFill="background1" w:themeFillShade="F2"/>
          </w:tcPr>
          <w:p w14:paraId="1E3C86B2" w14:textId="4BCB9F0F" w:rsidR="006D74F7" w:rsidRPr="0082652A" w:rsidRDefault="006D74F7" w:rsidP="006D74F7">
            <w:pPr>
              <w:rPr>
                <w:sz w:val="20"/>
                <w:szCs w:val="20"/>
              </w:rPr>
            </w:pPr>
            <w:hyperlink r:id="rId101" w:history="1">
              <w:r w:rsidRPr="004B3C75">
                <w:rPr>
                  <w:rStyle w:val="Hyperlink"/>
                  <w:sz w:val="20"/>
                  <w:szCs w:val="20"/>
                </w:rPr>
                <w:t>University-Issued Card Policy</w:t>
              </w:r>
            </w:hyperlink>
          </w:p>
        </w:tc>
        <w:tc>
          <w:tcPr>
            <w:tcW w:w="5940" w:type="dxa"/>
            <w:shd w:val="clear" w:color="auto" w:fill="F2F2F2" w:themeFill="background1" w:themeFillShade="F2"/>
          </w:tcPr>
          <w:p w14:paraId="13081663" w14:textId="3C6DFE2C" w:rsidR="006D74F7" w:rsidRDefault="006D74F7" w:rsidP="006D74F7">
            <w:pPr>
              <w:pStyle w:val="NoSpacing"/>
              <w:rPr>
                <w:rFonts w:cstheme="minorHAnsi"/>
                <w:sz w:val="20"/>
                <w:szCs w:val="20"/>
                <w:shd w:val="clear" w:color="auto" w:fill="D9D9D9" w:themeFill="background1" w:themeFillShade="D9"/>
              </w:rPr>
            </w:pPr>
            <w:r>
              <w:rPr>
                <w:sz w:val="20"/>
                <w:szCs w:val="20"/>
              </w:rPr>
              <w:t>This policy addresses those who may use Harvard-issued credit cards and describes the role and responsibilities when making certain types of payments while performing University business. Only eligible direct University business expenses may be charged to University-issued cards; personal purchases are strictly prohibited. Improper use of a University-issued card, including delinquent payments or person purchases, may result in disciplinary action including revocation, employment termination, expulsion from school (for students), and criminal charges.</w:t>
            </w:r>
          </w:p>
        </w:tc>
        <w:tc>
          <w:tcPr>
            <w:tcW w:w="1800" w:type="dxa"/>
            <w:shd w:val="clear" w:color="auto" w:fill="F2F2F2" w:themeFill="background1" w:themeFillShade="F2"/>
          </w:tcPr>
          <w:p w14:paraId="384F7E86" w14:textId="1E61A4CA" w:rsidR="006D74F7" w:rsidRPr="0082652A" w:rsidRDefault="006D74F7" w:rsidP="006D74F7">
            <w:pPr>
              <w:pStyle w:val="NoSpacing"/>
              <w:rPr>
                <w:sz w:val="20"/>
                <w:szCs w:val="20"/>
              </w:rPr>
            </w:pPr>
            <w:hyperlink r:id="rId102" w:history="1">
              <w:r w:rsidRPr="004B3C75">
                <w:rPr>
                  <w:rStyle w:val="Hyperlink"/>
                  <w:sz w:val="20"/>
                  <w:szCs w:val="20"/>
                </w:rPr>
                <w:t>Business Expenses Reimbursement (Concur)</w:t>
              </w:r>
            </w:hyperlink>
          </w:p>
        </w:tc>
        <w:tc>
          <w:tcPr>
            <w:tcW w:w="1530" w:type="dxa"/>
            <w:shd w:val="clear" w:color="auto" w:fill="F2F2F2" w:themeFill="background1" w:themeFillShade="F2"/>
          </w:tcPr>
          <w:p w14:paraId="5EB3F575" w14:textId="77777777" w:rsidR="006D74F7" w:rsidRDefault="006D74F7" w:rsidP="00B2192E">
            <w:pPr>
              <w:pStyle w:val="NoSpacing"/>
              <w:spacing w:after="120"/>
              <w:rPr>
                <w:rFonts w:cstheme="minorHAnsi"/>
                <w:sz w:val="20"/>
                <w:szCs w:val="20"/>
              </w:rPr>
            </w:pPr>
            <w:hyperlink r:id="rId103" w:history="1">
              <w:r w:rsidRPr="005502C6">
                <w:rPr>
                  <w:rStyle w:val="Hyperlink"/>
                  <w:rFonts w:cstheme="minorHAnsi"/>
                  <w:sz w:val="20"/>
                  <w:szCs w:val="20"/>
                </w:rPr>
                <w:t>B2P</w:t>
              </w:r>
            </w:hyperlink>
          </w:p>
          <w:p w14:paraId="21427150" w14:textId="65861317" w:rsidR="006D74F7" w:rsidRDefault="006D74F7" w:rsidP="00B2192E">
            <w:pPr>
              <w:pStyle w:val="NoSpacing"/>
              <w:spacing w:after="120"/>
              <w:rPr>
                <w:rFonts w:cstheme="minorHAnsi"/>
                <w:sz w:val="20"/>
                <w:szCs w:val="20"/>
              </w:rPr>
            </w:pPr>
            <w:hyperlink r:id="rId104" w:history="1">
              <w:r w:rsidRPr="009E1D08">
                <w:rPr>
                  <w:rStyle w:val="Hyperlink"/>
                  <w:rFonts w:cstheme="minorHAnsi"/>
                  <w:sz w:val="20"/>
                  <w:szCs w:val="20"/>
                </w:rPr>
                <w:t>Concur</w:t>
              </w:r>
            </w:hyperlink>
          </w:p>
          <w:p w14:paraId="1E86F7B2" w14:textId="3AD92D59" w:rsidR="006D74F7" w:rsidRDefault="006D74F7" w:rsidP="00B2192E">
            <w:pPr>
              <w:pStyle w:val="NoSpacing"/>
              <w:spacing w:after="120"/>
              <w:rPr>
                <w:rFonts w:cstheme="minorHAnsi"/>
                <w:sz w:val="20"/>
                <w:szCs w:val="20"/>
              </w:rPr>
            </w:pPr>
            <w:hyperlink r:id="rId105" w:history="1">
              <w:r w:rsidRPr="003B0557">
                <w:rPr>
                  <w:rStyle w:val="Hyperlink"/>
                  <w:rFonts w:cstheme="minorHAnsi"/>
                  <w:sz w:val="20"/>
                  <w:szCs w:val="20"/>
                </w:rPr>
                <w:t>Processing</w:t>
              </w:r>
            </w:hyperlink>
          </w:p>
          <w:p w14:paraId="5CB5BB1C" w14:textId="2900E91A" w:rsidR="006D74F7" w:rsidRDefault="006D74F7" w:rsidP="00B2192E">
            <w:pPr>
              <w:pStyle w:val="NoSpacing"/>
              <w:spacing w:after="120"/>
              <w:rPr>
                <w:rFonts w:cstheme="minorHAnsi"/>
                <w:sz w:val="20"/>
                <w:szCs w:val="20"/>
              </w:rPr>
            </w:pPr>
            <w:hyperlink r:id="rId106" w:history="1">
              <w:r w:rsidRPr="00913CEE">
                <w:rPr>
                  <w:rStyle w:val="Hyperlink"/>
                  <w:rFonts w:cstheme="minorHAnsi"/>
                  <w:sz w:val="20"/>
                  <w:szCs w:val="20"/>
                </w:rPr>
                <w:t>Travel</w:t>
              </w:r>
            </w:hyperlink>
          </w:p>
        </w:tc>
        <w:tc>
          <w:tcPr>
            <w:tcW w:w="1710" w:type="dxa"/>
            <w:shd w:val="clear" w:color="auto" w:fill="F2F2F2" w:themeFill="background1" w:themeFillShade="F2"/>
          </w:tcPr>
          <w:p w14:paraId="5FD6892E" w14:textId="0AFB285D" w:rsidR="006D74F7" w:rsidRPr="00AC426D" w:rsidRDefault="006D74F7" w:rsidP="006D74F7">
            <w:pPr>
              <w:pStyle w:val="NoSpacing"/>
              <w:rPr>
                <w:rFonts w:cstheme="minorHAnsi"/>
                <w:sz w:val="20"/>
                <w:szCs w:val="20"/>
              </w:rPr>
            </w:pPr>
            <w:r w:rsidRPr="00AC426D">
              <w:rPr>
                <w:rFonts w:cstheme="minorHAnsi"/>
                <w:sz w:val="20"/>
                <w:szCs w:val="20"/>
              </w:rPr>
              <w:t>Travel,</w:t>
            </w:r>
          </w:p>
          <w:p w14:paraId="42D8189C" w14:textId="60482710" w:rsidR="006D74F7" w:rsidRPr="003111A6" w:rsidRDefault="006D74F7" w:rsidP="006D74F7">
            <w:pPr>
              <w:pStyle w:val="NoSpacing"/>
              <w:rPr>
                <w:rFonts w:cstheme="minorHAnsi"/>
                <w:sz w:val="20"/>
                <w:szCs w:val="20"/>
              </w:rPr>
            </w:pPr>
            <w:r w:rsidRPr="00AC426D">
              <w:rPr>
                <w:rFonts w:cstheme="minorHAnsi"/>
                <w:sz w:val="20"/>
                <w:szCs w:val="20"/>
              </w:rPr>
              <w:t>Reimbursement and Card Services</w:t>
            </w:r>
          </w:p>
        </w:tc>
        <w:tc>
          <w:tcPr>
            <w:tcW w:w="1350" w:type="dxa"/>
            <w:shd w:val="clear" w:color="auto" w:fill="F2F2F2" w:themeFill="background1" w:themeFillShade="F2"/>
          </w:tcPr>
          <w:p w14:paraId="797D8B52" w14:textId="77777777" w:rsidR="006D74F7" w:rsidRDefault="006D74F7" w:rsidP="006D74F7">
            <w:pPr>
              <w:pStyle w:val="NoSpacing"/>
              <w:rPr>
                <w:rFonts w:cstheme="minorHAnsi"/>
                <w:sz w:val="20"/>
                <w:szCs w:val="20"/>
              </w:rPr>
            </w:pPr>
            <w:r>
              <w:rPr>
                <w:rFonts w:cstheme="minorHAnsi"/>
                <w:sz w:val="20"/>
                <w:szCs w:val="20"/>
              </w:rPr>
              <w:t>B2P</w:t>
            </w:r>
          </w:p>
          <w:p w14:paraId="1E3C7922" w14:textId="77777777" w:rsidR="006D74F7" w:rsidRDefault="006D74F7" w:rsidP="006D74F7">
            <w:pPr>
              <w:pStyle w:val="NoSpacing"/>
              <w:rPr>
                <w:rFonts w:cstheme="minorHAnsi"/>
                <w:sz w:val="20"/>
                <w:szCs w:val="20"/>
              </w:rPr>
            </w:pPr>
            <w:r>
              <w:rPr>
                <w:rFonts w:cstheme="minorHAnsi"/>
                <w:sz w:val="20"/>
                <w:szCs w:val="20"/>
              </w:rPr>
              <w:t>Concur</w:t>
            </w:r>
          </w:p>
          <w:p w14:paraId="7734E0AD" w14:textId="20D6224F" w:rsidR="006D74F7" w:rsidRDefault="006D74F7" w:rsidP="006D74F7">
            <w:pPr>
              <w:pStyle w:val="NoSpacing"/>
              <w:rPr>
                <w:rFonts w:cstheme="minorHAnsi"/>
                <w:sz w:val="20"/>
                <w:szCs w:val="20"/>
              </w:rPr>
            </w:pPr>
            <w:r>
              <w:rPr>
                <w:rFonts w:cstheme="minorHAnsi"/>
                <w:sz w:val="20"/>
                <w:szCs w:val="20"/>
              </w:rPr>
              <w:t>Oracle</w:t>
            </w:r>
          </w:p>
        </w:tc>
      </w:tr>
    </w:tbl>
    <w:p w14:paraId="37A9FEB9" w14:textId="6D1CBD92" w:rsidR="00524B32" w:rsidRPr="004512CF" w:rsidRDefault="009C543C" w:rsidP="005B7B0F">
      <w:pPr>
        <w:spacing w:after="0" w:line="240" w:lineRule="auto"/>
        <w:rPr>
          <w:rFonts w:cstheme="minorHAnsi"/>
        </w:rPr>
      </w:pPr>
      <w:r>
        <w:rPr>
          <w:rFonts w:cstheme="minorHAnsi"/>
        </w:rPr>
        <w:br w:type="textWrapping" w:clear="all"/>
      </w:r>
    </w:p>
    <w:sectPr w:rsidR="00524B32" w:rsidRPr="004512CF" w:rsidSect="00F41205">
      <w:headerReference w:type="default" r:id="rId107"/>
      <w:footerReference w:type="default" r:id="rId108"/>
      <w:pgSz w:w="15840" w:h="12240" w:orient="landscape"/>
      <w:pgMar w:top="1008" w:right="806" w:bottom="720" w:left="720" w:header="14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41D57" w14:textId="77777777" w:rsidR="003756F4" w:rsidRDefault="003756F4" w:rsidP="00FA4CA4">
      <w:pPr>
        <w:spacing w:after="0" w:line="240" w:lineRule="auto"/>
      </w:pPr>
      <w:r>
        <w:separator/>
      </w:r>
    </w:p>
  </w:endnote>
  <w:endnote w:type="continuationSeparator" w:id="0">
    <w:p w14:paraId="10FF466F" w14:textId="77777777" w:rsidR="003756F4" w:rsidRDefault="003756F4" w:rsidP="00FA4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866660198"/>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62922ADA" w14:textId="420802C5" w:rsidR="006F664C" w:rsidRPr="00AE7D18" w:rsidRDefault="006F664C">
            <w:pPr>
              <w:pStyle w:val="Footer"/>
              <w:jc w:val="right"/>
              <w:rPr>
                <w:sz w:val="20"/>
                <w:szCs w:val="20"/>
              </w:rPr>
            </w:pPr>
            <w:r w:rsidRPr="00AE7D18">
              <w:rPr>
                <w:sz w:val="20"/>
                <w:szCs w:val="20"/>
              </w:rPr>
              <w:t xml:space="preserve">Page </w:t>
            </w:r>
            <w:r w:rsidRPr="00AE7D18">
              <w:rPr>
                <w:b/>
                <w:bCs/>
                <w:sz w:val="20"/>
                <w:szCs w:val="20"/>
              </w:rPr>
              <w:fldChar w:fldCharType="begin"/>
            </w:r>
            <w:r w:rsidRPr="00AE7D18">
              <w:rPr>
                <w:b/>
                <w:bCs/>
                <w:sz w:val="20"/>
                <w:szCs w:val="20"/>
              </w:rPr>
              <w:instrText xml:space="preserve"> PAGE </w:instrText>
            </w:r>
            <w:r w:rsidRPr="00AE7D18">
              <w:rPr>
                <w:b/>
                <w:bCs/>
                <w:sz w:val="20"/>
                <w:szCs w:val="20"/>
              </w:rPr>
              <w:fldChar w:fldCharType="separate"/>
            </w:r>
            <w:r w:rsidRPr="00AE7D18">
              <w:rPr>
                <w:b/>
                <w:bCs/>
                <w:noProof/>
                <w:sz w:val="20"/>
                <w:szCs w:val="20"/>
              </w:rPr>
              <w:t>2</w:t>
            </w:r>
            <w:r w:rsidRPr="00AE7D18">
              <w:rPr>
                <w:b/>
                <w:bCs/>
                <w:sz w:val="20"/>
                <w:szCs w:val="20"/>
              </w:rPr>
              <w:fldChar w:fldCharType="end"/>
            </w:r>
            <w:r w:rsidRPr="00AE7D18">
              <w:rPr>
                <w:sz w:val="20"/>
                <w:szCs w:val="20"/>
              </w:rPr>
              <w:t xml:space="preserve"> of </w:t>
            </w:r>
            <w:r w:rsidRPr="00AE7D18">
              <w:rPr>
                <w:b/>
                <w:bCs/>
                <w:sz w:val="20"/>
                <w:szCs w:val="20"/>
              </w:rPr>
              <w:fldChar w:fldCharType="begin"/>
            </w:r>
            <w:r w:rsidRPr="00AE7D18">
              <w:rPr>
                <w:b/>
                <w:bCs/>
                <w:sz w:val="20"/>
                <w:szCs w:val="20"/>
              </w:rPr>
              <w:instrText xml:space="preserve"> NUMPAGES  </w:instrText>
            </w:r>
            <w:r w:rsidRPr="00AE7D18">
              <w:rPr>
                <w:b/>
                <w:bCs/>
                <w:sz w:val="20"/>
                <w:szCs w:val="20"/>
              </w:rPr>
              <w:fldChar w:fldCharType="separate"/>
            </w:r>
            <w:r w:rsidRPr="00AE7D18">
              <w:rPr>
                <w:b/>
                <w:bCs/>
                <w:noProof/>
                <w:sz w:val="20"/>
                <w:szCs w:val="20"/>
              </w:rPr>
              <w:t>2</w:t>
            </w:r>
            <w:r w:rsidRPr="00AE7D18">
              <w:rPr>
                <w:b/>
                <w:bCs/>
                <w:sz w:val="20"/>
                <w:szCs w:val="20"/>
              </w:rPr>
              <w:fldChar w:fldCharType="end"/>
            </w:r>
          </w:p>
        </w:sdtContent>
      </w:sdt>
    </w:sdtContent>
  </w:sdt>
  <w:p w14:paraId="0139AE71" w14:textId="1B407B5F" w:rsidR="00954063" w:rsidRDefault="00954063" w:rsidP="00ED1731">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FAE19" w14:textId="77777777" w:rsidR="003756F4" w:rsidRDefault="003756F4" w:rsidP="00FA4CA4">
      <w:pPr>
        <w:spacing w:after="0" w:line="240" w:lineRule="auto"/>
      </w:pPr>
      <w:r>
        <w:separator/>
      </w:r>
    </w:p>
  </w:footnote>
  <w:footnote w:type="continuationSeparator" w:id="0">
    <w:p w14:paraId="0447CC73" w14:textId="77777777" w:rsidR="003756F4" w:rsidRDefault="003756F4" w:rsidP="00FA4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MON_1549283779"/>
  <w:bookmarkEnd w:id="0"/>
  <w:p w14:paraId="2B0F8731" w14:textId="0161917D" w:rsidR="00ED1731" w:rsidRPr="003B155B" w:rsidRDefault="009711A4" w:rsidP="00ED1731">
    <w:pPr>
      <w:pStyle w:val="Default"/>
    </w:pPr>
    <w:r>
      <w:object w:dxaOrig="857" w:dyaOrig="1008" w14:anchorId="476090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Harvard Shield" style="width:42.75pt;height:50.25pt" fillcolor="#0c9">
          <v:imagedata r:id="rId1" o:title=""/>
        </v:shape>
        <o:OLEObject Type="Embed" ProgID="Word.Document.8" ShapeID="_x0000_i1025" DrawAspect="Content" ObjectID="_1825489212" r:id="rId2">
          <o:FieldCodes>\s</o:FieldCodes>
        </o:OLEObject>
      </w:object>
    </w:r>
    <w:r w:rsidR="00ED1731">
      <w:rPr>
        <w:rFonts w:ascii="Arial" w:hAnsi="Arial" w:cs="Arial"/>
        <w:b/>
        <w:bCs/>
      </w:rPr>
      <w:t>HARVARD UNIVERSITY</w:t>
    </w:r>
  </w:p>
  <w:p w14:paraId="3361E895" w14:textId="77777777" w:rsidR="002B64F6" w:rsidRPr="002B64F6" w:rsidRDefault="00ED1731" w:rsidP="002B64F6">
    <w:pPr>
      <w:pStyle w:val="Default"/>
      <w:jc w:val="right"/>
      <w:rPr>
        <w:rFonts w:ascii="Arial" w:hAnsi="Arial" w:cs="Arial"/>
        <w:sz w:val="18"/>
        <w:szCs w:val="18"/>
      </w:rPr>
    </w:pPr>
    <w:r w:rsidRPr="00CF3BC4">
      <w:rPr>
        <w:rFonts w:ascii="Arial" w:hAnsi="Arial" w:cs="Arial"/>
        <w:sz w:val="18"/>
        <w:szCs w:val="18"/>
      </w:rPr>
      <w:t>Responsible Office</w:t>
    </w:r>
    <w:r w:rsidRPr="002B64F6">
      <w:rPr>
        <w:rFonts w:ascii="Arial" w:hAnsi="Arial" w:cs="Arial"/>
        <w:sz w:val="18"/>
        <w:szCs w:val="18"/>
      </w:rPr>
      <w:t>: Financial Policy Office</w:t>
    </w:r>
  </w:p>
  <w:p w14:paraId="64A1743A" w14:textId="7027F561" w:rsidR="0B8E58CC" w:rsidRPr="006F09A5" w:rsidRDefault="00D85105" w:rsidP="002B64F6">
    <w:pPr>
      <w:pStyle w:val="Default"/>
      <w:jc w:val="right"/>
      <w:rPr>
        <w:rFonts w:ascii="Arial" w:hAnsi="Arial" w:cs="Arial"/>
        <w:sz w:val="18"/>
        <w:szCs w:val="18"/>
      </w:rPr>
    </w:pPr>
    <w:r>
      <w:rPr>
        <w:rFonts w:ascii="Arial" w:hAnsi="Arial" w:cs="Arial"/>
        <w:sz w:val="18"/>
        <w:szCs w:val="18"/>
      </w:rPr>
      <w:t>11/24/2025</w:t>
    </w:r>
  </w:p>
  <w:p w14:paraId="37E43A24" w14:textId="1A1323F5" w:rsidR="00713735" w:rsidRDefault="00BC4DF1" w:rsidP="0004137F">
    <w:pPr>
      <w:pStyle w:val="Header"/>
      <w:jc w:val="center"/>
      <w:rPr>
        <w:rFonts w:ascii="Arial" w:hAnsi="Arial" w:cs="Arial"/>
        <w:b/>
        <w:sz w:val="24"/>
      </w:rPr>
    </w:pPr>
    <w:r>
      <w:rPr>
        <w:rFonts w:ascii="Arial" w:hAnsi="Arial" w:cs="Arial"/>
        <w:b/>
        <w:sz w:val="24"/>
      </w:rPr>
      <w:t xml:space="preserve">Financial </w:t>
    </w:r>
    <w:r w:rsidR="00FA447B" w:rsidRPr="00FA447B">
      <w:rPr>
        <w:rFonts w:ascii="Arial" w:hAnsi="Arial" w:cs="Arial"/>
        <w:b/>
        <w:sz w:val="24"/>
      </w:rPr>
      <w:t xml:space="preserve">Policy </w:t>
    </w:r>
    <w:r w:rsidR="00387C4D">
      <w:rPr>
        <w:rFonts w:ascii="Arial" w:hAnsi="Arial" w:cs="Arial"/>
        <w:b/>
        <w:sz w:val="24"/>
      </w:rPr>
      <w:t>Summaries</w:t>
    </w:r>
  </w:p>
  <w:p w14:paraId="6B572D04" w14:textId="77777777" w:rsidR="00F15BF3" w:rsidRPr="0004137F" w:rsidRDefault="00F15BF3" w:rsidP="0004137F">
    <w:pPr>
      <w:pStyle w:val="Header"/>
      <w:jc w:val="center"/>
      <w:rPr>
        <w:rFonts w:ascii="Arial" w:hAnsi="Arial" w:cs="Arial"/>
        <w:b/>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50962"/>
    <w:multiLevelType w:val="hybridMultilevel"/>
    <w:tmpl w:val="91BC50E8"/>
    <w:lvl w:ilvl="0" w:tplc="2E3070E6">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D15DB2"/>
    <w:multiLevelType w:val="hybridMultilevel"/>
    <w:tmpl w:val="6D54C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4146FF"/>
    <w:multiLevelType w:val="hybridMultilevel"/>
    <w:tmpl w:val="54302234"/>
    <w:lvl w:ilvl="0" w:tplc="2E3070E6">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837E21"/>
    <w:multiLevelType w:val="hybridMultilevel"/>
    <w:tmpl w:val="1DD86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6E254C"/>
    <w:multiLevelType w:val="hybridMultilevel"/>
    <w:tmpl w:val="CE44C4F6"/>
    <w:lvl w:ilvl="0" w:tplc="2E3070E6">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A727ED7"/>
    <w:multiLevelType w:val="hybridMultilevel"/>
    <w:tmpl w:val="C93A6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1350813"/>
    <w:multiLevelType w:val="hybridMultilevel"/>
    <w:tmpl w:val="C94601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6166814">
    <w:abstractNumId w:val="3"/>
  </w:num>
  <w:num w:numId="2" w16cid:durableId="1521312215">
    <w:abstractNumId w:val="6"/>
  </w:num>
  <w:num w:numId="3" w16cid:durableId="1549416957">
    <w:abstractNumId w:val="1"/>
  </w:num>
  <w:num w:numId="4" w16cid:durableId="447049018">
    <w:abstractNumId w:val="5"/>
  </w:num>
  <w:num w:numId="5" w16cid:durableId="1587765149">
    <w:abstractNumId w:val="0"/>
  </w:num>
  <w:num w:numId="6" w16cid:durableId="2098094038">
    <w:abstractNumId w:val="2"/>
  </w:num>
  <w:num w:numId="7" w16cid:durableId="1567008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fZ+1qMuuQ/7Oe9eOcV2YQtDdXBxRWfK0O4xb1ihRyvNSNRNGjtjg3VqkwqRAmSLDHN5oInnYrOCSG5QO03H9NA==" w:salt="3X2NcvdS7kUc12Tv+cbKP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858"/>
    <w:rsid w:val="000054F5"/>
    <w:rsid w:val="0000594E"/>
    <w:rsid w:val="00006CAA"/>
    <w:rsid w:val="000138CC"/>
    <w:rsid w:val="00016CDF"/>
    <w:rsid w:val="00022612"/>
    <w:rsid w:val="00022841"/>
    <w:rsid w:val="00025C56"/>
    <w:rsid w:val="000300B1"/>
    <w:rsid w:val="00031015"/>
    <w:rsid w:val="0004137F"/>
    <w:rsid w:val="000429F7"/>
    <w:rsid w:val="00056114"/>
    <w:rsid w:val="00064236"/>
    <w:rsid w:val="00064A34"/>
    <w:rsid w:val="00074414"/>
    <w:rsid w:val="00074D43"/>
    <w:rsid w:val="00076581"/>
    <w:rsid w:val="00080D82"/>
    <w:rsid w:val="00090651"/>
    <w:rsid w:val="00091ADD"/>
    <w:rsid w:val="00093A07"/>
    <w:rsid w:val="00096E72"/>
    <w:rsid w:val="000A114B"/>
    <w:rsid w:val="000A2F15"/>
    <w:rsid w:val="000A55AD"/>
    <w:rsid w:val="000A64D3"/>
    <w:rsid w:val="000B151D"/>
    <w:rsid w:val="000B20DF"/>
    <w:rsid w:val="000B4016"/>
    <w:rsid w:val="000B51E9"/>
    <w:rsid w:val="000B661B"/>
    <w:rsid w:val="000B67A1"/>
    <w:rsid w:val="000B7749"/>
    <w:rsid w:val="000C0BE3"/>
    <w:rsid w:val="000D00AB"/>
    <w:rsid w:val="000D1E19"/>
    <w:rsid w:val="000D382E"/>
    <w:rsid w:val="000E2C7D"/>
    <w:rsid w:val="000E2F9D"/>
    <w:rsid w:val="000E4F4C"/>
    <w:rsid w:val="000E7585"/>
    <w:rsid w:val="000F23A0"/>
    <w:rsid w:val="00104711"/>
    <w:rsid w:val="00106DA7"/>
    <w:rsid w:val="00113CA6"/>
    <w:rsid w:val="00115F18"/>
    <w:rsid w:val="001161BA"/>
    <w:rsid w:val="0012190D"/>
    <w:rsid w:val="00123EAF"/>
    <w:rsid w:val="00123ECF"/>
    <w:rsid w:val="0013035C"/>
    <w:rsid w:val="00130CA2"/>
    <w:rsid w:val="00131D4D"/>
    <w:rsid w:val="001330F7"/>
    <w:rsid w:val="00137370"/>
    <w:rsid w:val="00145AAE"/>
    <w:rsid w:val="001466A5"/>
    <w:rsid w:val="00147269"/>
    <w:rsid w:val="0015152C"/>
    <w:rsid w:val="0015310B"/>
    <w:rsid w:val="00155298"/>
    <w:rsid w:val="001558D6"/>
    <w:rsid w:val="0015732E"/>
    <w:rsid w:val="00162467"/>
    <w:rsid w:val="001627AC"/>
    <w:rsid w:val="00166AD2"/>
    <w:rsid w:val="00166D2F"/>
    <w:rsid w:val="0016768C"/>
    <w:rsid w:val="00187AAF"/>
    <w:rsid w:val="001942AE"/>
    <w:rsid w:val="001A20E5"/>
    <w:rsid w:val="001A32FA"/>
    <w:rsid w:val="001A42E0"/>
    <w:rsid w:val="001A51F4"/>
    <w:rsid w:val="001A5688"/>
    <w:rsid w:val="001B2569"/>
    <w:rsid w:val="001B582B"/>
    <w:rsid w:val="001C4215"/>
    <w:rsid w:val="001C68B4"/>
    <w:rsid w:val="001E4041"/>
    <w:rsid w:val="001E5932"/>
    <w:rsid w:val="001E719F"/>
    <w:rsid w:val="001F7968"/>
    <w:rsid w:val="00200759"/>
    <w:rsid w:val="00201200"/>
    <w:rsid w:val="00202AF7"/>
    <w:rsid w:val="002106FD"/>
    <w:rsid w:val="00212843"/>
    <w:rsid w:val="002128D6"/>
    <w:rsid w:val="00213D34"/>
    <w:rsid w:val="002206D3"/>
    <w:rsid w:val="00222625"/>
    <w:rsid w:val="00222A28"/>
    <w:rsid w:val="002231CD"/>
    <w:rsid w:val="002256BB"/>
    <w:rsid w:val="0023753B"/>
    <w:rsid w:val="00245699"/>
    <w:rsid w:val="00257AE6"/>
    <w:rsid w:val="00262A2D"/>
    <w:rsid w:val="00262CF4"/>
    <w:rsid w:val="00266573"/>
    <w:rsid w:val="00267A70"/>
    <w:rsid w:val="00280111"/>
    <w:rsid w:val="002805A6"/>
    <w:rsid w:val="002812EF"/>
    <w:rsid w:val="00283D12"/>
    <w:rsid w:val="0028596C"/>
    <w:rsid w:val="002861AF"/>
    <w:rsid w:val="00287FEA"/>
    <w:rsid w:val="00291D32"/>
    <w:rsid w:val="002A0D06"/>
    <w:rsid w:val="002A18E7"/>
    <w:rsid w:val="002A3A8E"/>
    <w:rsid w:val="002A4F16"/>
    <w:rsid w:val="002B5DAC"/>
    <w:rsid w:val="002B64F6"/>
    <w:rsid w:val="002C2844"/>
    <w:rsid w:val="002C52DE"/>
    <w:rsid w:val="002C78BE"/>
    <w:rsid w:val="002D3B67"/>
    <w:rsid w:val="002D56DB"/>
    <w:rsid w:val="002D5F2F"/>
    <w:rsid w:val="002E2997"/>
    <w:rsid w:val="002E5F84"/>
    <w:rsid w:val="002E749C"/>
    <w:rsid w:val="002E75F0"/>
    <w:rsid w:val="002F1647"/>
    <w:rsid w:val="002F1AA4"/>
    <w:rsid w:val="002F55E7"/>
    <w:rsid w:val="002F65FF"/>
    <w:rsid w:val="003101D9"/>
    <w:rsid w:val="003111A6"/>
    <w:rsid w:val="00311F46"/>
    <w:rsid w:val="00317E53"/>
    <w:rsid w:val="00317F85"/>
    <w:rsid w:val="003267E9"/>
    <w:rsid w:val="00326958"/>
    <w:rsid w:val="0033390F"/>
    <w:rsid w:val="00336614"/>
    <w:rsid w:val="00337F50"/>
    <w:rsid w:val="003433B4"/>
    <w:rsid w:val="00345464"/>
    <w:rsid w:val="00350858"/>
    <w:rsid w:val="00352165"/>
    <w:rsid w:val="003555E6"/>
    <w:rsid w:val="00362556"/>
    <w:rsid w:val="00362A2E"/>
    <w:rsid w:val="00366ADF"/>
    <w:rsid w:val="00366C3D"/>
    <w:rsid w:val="00367C66"/>
    <w:rsid w:val="003701CB"/>
    <w:rsid w:val="00371CF6"/>
    <w:rsid w:val="003756F4"/>
    <w:rsid w:val="00376588"/>
    <w:rsid w:val="00383E6F"/>
    <w:rsid w:val="0038712F"/>
    <w:rsid w:val="00387C4D"/>
    <w:rsid w:val="003953E5"/>
    <w:rsid w:val="003A1187"/>
    <w:rsid w:val="003A5C56"/>
    <w:rsid w:val="003A5C59"/>
    <w:rsid w:val="003A6047"/>
    <w:rsid w:val="003B0557"/>
    <w:rsid w:val="003B0E82"/>
    <w:rsid w:val="003B155B"/>
    <w:rsid w:val="003B1D85"/>
    <w:rsid w:val="003C09FE"/>
    <w:rsid w:val="003C45E6"/>
    <w:rsid w:val="003C6319"/>
    <w:rsid w:val="003C7D58"/>
    <w:rsid w:val="003C7E4B"/>
    <w:rsid w:val="003D2613"/>
    <w:rsid w:val="003D38C1"/>
    <w:rsid w:val="003D3F11"/>
    <w:rsid w:val="003D732C"/>
    <w:rsid w:val="003E1836"/>
    <w:rsid w:val="003E2774"/>
    <w:rsid w:val="003E38A3"/>
    <w:rsid w:val="003F2A31"/>
    <w:rsid w:val="00400DAA"/>
    <w:rsid w:val="004014BE"/>
    <w:rsid w:val="00403AC2"/>
    <w:rsid w:val="0040530A"/>
    <w:rsid w:val="004103FB"/>
    <w:rsid w:val="00411D55"/>
    <w:rsid w:val="00411D5D"/>
    <w:rsid w:val="004130C9"/>
    <w:rsid w:val="00416F57"/>
    <w:rsid w:val="0042381B"/>
    <w:rsid w:val="00425EB2"/>
    <w:rsid w:val="004279A2"/>
    <w:rsid w:val="00427B6F"/>
    <w:rsid w:val="00431F40"/>
    <w:rsid w:val="00433D5D"/>
    <w:rsid w:val="004445D0"/>
    <w:rsid w:val="00445D6B"/>
    <w:rsid w:val="004512CF"/>
    <w:rsid w:val="004560FD"/>
    <w:rsid w:val="0046246F"/>
    <w:rsid w:val="00466DFD"/>
    <w:rsid w:val="00473B85"/>
    <w:rsid w:val="00485721"/>
    <w:rsid w:val="00486272"/>
    <w:rsid w:val="004904D2"/>
    <w:rsid w:val="0049316C"/>
    <w:rsid w:val="004941AD"/>
    <w:rsid w:val="00494760"/>
    <w:rsid w:val="00495522"/>
    <w:rsid w:val="004A11D2"/>
    <w:rsid w:val="004A3192"/>
    <w:rsid w:val="004A734B"/>
    <w:rsid w:val="004A7436"/>
    <w:rsid w:val="004B3C75"/>
    <w:rsid w:val="004C1A86"/>
    <w:rsid w:val="004D1806"/>
    <w:rsid w:val="004D2ABD"/>
    <w:rsid w:val="004D58B8"/>
    <w:rsid w:val="004E2437"/>
    <w:rsid w:val="004E2B17"/>
    <w:rsid w:val="004E4925"/>
    <w:rsid w:val="004E53FD"/>
    <w:rsid w:val="004E764C"/>
    <w:rsid w:val="004E7F80"/>
    <w:rsid w:val="004F0712"/>
    <w:rsid w:val="004F34D4"/>
    <w:rsid w:val="004F35F8"/>
    <w:rsid w:val="004F4287"/>
    <w:rsid w:val="004F44E0"/>
    <w:rsid w:val="004F6F0D"/>
    <w:rsid w:val="00500A2A"/>
    <w:rsid w:val="00501389"/>
    <w:rsid w:val="00501E6F"/>
    <w:rsid w:val="00504568"/>
    <w:rsid w:val="00504B1B"/>
    <w:rsid w:val="00507FC3"/>
    <w:rsid w:val="00513339"/>
    <w:rsid w:val="00515E39"/>
    <w:rsid w:val="00517184"/>
    <w:rsid w:val="00521B48"/>
    <w:rsid w:val="00524B32"/>
    <w:rsid w:val="005308F0"/>
    <w:rsid w:val="005313E2"/>
    <w:rsid w:val="00534498"/>
    <w:rsid w:val="00536C8F"/>
    <w:rsid w:val="0054147F"/>
    <w:rsid w:val="005502C6"/>
    <w:rsid w:val="0055557B"/>
    <w:rsid w:val="005561FD"/>
    <w:rsid w:val="005576CC"/>
    <w:rsid w:val="00562D0B"/>
    <w:rsid w:val="0056303A"/>
    <w:rsid w:val="005638C0"/>
    <w:rsid w:val="00563EBF"/>
    <w:rsid w:val="00564C3D"/>
    <w:rsid w:val="005660BD"/>
    <w:rsid w:val="00566A10"/>
    <w:rsid w:val="0057100A"/>
    <w:rsid w:val="005739EE"/>
    <w:rsid w:val="00574253"/>
    <w:rsid w:val="00580327"/>
    <w:rsid w:val="00581840"/>
    <w:rsid w:val="00582B2D"/>
    <w:rsid w:val="00584C91"/>
    <w:rsid w:val="00586D41"/>
    <w:rsid w:val="00593183"/>
    <w:rsid w:val="005A36B6"/>
    <w:rsid w:val="005A67C0"/>
    <w:rsid w:val="005A6AE3"/>
    <w:rsid w:val="005A6F03"/>
    <w:rsid w:val="005B1578"/>
    <w:rsid w:val="005B2380"/>
    <w:rsid w:val="005B28D8"/>
    <w:rsid w:val="005B2F05"/>
    <w:rsid w:val="005B3980"/>
    <w:rsid w:val="005B4ED3"/>
    <w:rsid w:val="005B5259"/>
    <w:rsid w:val="005B5703"/>
    <w:rsid w:val="005B6097"/>
    <w:rsid w:val="005B7B0F"/>
    <w:rsid w:val="005C047C"/>
    <w:rsid w:val="005C3040"/>
    <w:rsid w:val="005D1670"/>
    <w:rsid w:val="005D6B67"/>
    <w:rsid w:val="005E0FDD"/>
    <w:rsid w:val="005F08C5"/>
    <w:rsid w:val="005F0DEE"/>
    <w:rsid w:val="005F4234"/>
    <w:rsid w:val="005F5390"/>
    <w:rsid w:val="005F5706"/>
    <w:rsid w:val="00610F25"/>
    <w:rsid w:val="006126DB"/>
    <w:rsid w:val="0061703A"/>
    <w:rsid w:val="00625D25"/>
    <w:rsid w:val="00627166"/>
    <w:rsid w:val="00630AF0"/>
    <w:rsid w:val="006324DD"/>
    <w:rsid w:val="006403A5"/>
    <w:rsid w:val="00642348"/>
    <w:rsid w:val="00643CDA"/>
    <w:rsid w:val="00644B98"/>
    <w:rsid w:val="006571AB"/>
    <w:rsid w:val="0066135F"/>
    <w:rsid w:val="00661934"/>
    <w:rsid w:val="006644ED"/>
    <w:rsid w:val="006662E5"/>
    <w:rsid w:val="00670A2E"/>
    <w:rsid w:val="00673803"/>
    <w:rsid w:val="00673DBC"/>
    <w:rsid w:val="00674351"/>
    <w:rsid w:val="0067536E"/>
    <w:rsid w:val="00681D87"/>
    <w:rsid w:val="00684ADC"/>
    <w:rsid w:val="00685740"/>
    <w:rsid w:val="00687800"/>
    <w:rsid w:val="00692BA7"/>
    <w:rsid w:val="00693D7E"/>
    <w:rsid w:val="006962BC"/>
    <w:rsid w:val="006968DD"/>
    <w:rsid w:val="00696D6B"/>
    <w:rsid w:val="00697524"/>
    <w:rsid w:val="006A3583"/>
    <w:rsid w:val="006B7AE2"/>
    <w:rsid w:val="006C23B4"/>
    <w:rsid w:val="006C466D"/>
    <w:rsid w:val="006C64C2"/>
    <w:rsid w:val="006C6DA2"/>
    <w:rsid w:val="006D2523"/>
    <w:rsid w:val="006D3D2A"/>
    <w:rsid w:val="006D5254"/>
    <w:rsid w:val="006D74F7"/>
    <w:rsid w:val="006E794A"/>
    <w:rsid w:val="006F09A5"/>
    <w:rsid w:val="006F4B18"/>
    <w:rsid w:val="006F520D"/>
    <w:rsid w:val="006F60AC"/>
    <w:rsid w:val="006F643B"/>
    <w:rsid w:val="006F664C"/>
    <w:rsid w:val="00701111"/>
    <w:rsid w:val="00702614"/>
    <w:rsid w:val="00704D7A"/>
    <w:rsid w:val="00711E6D"/>
    <w:rsid w:val="00712D23"/>
    <w:rsid w:val="00713735"/>
    <w:rsid w:val="00715605"/>
    <w:rsid w:val="007170FD"/>
    <w:rsid w:val="00721698"/>
    <w:rsid w:val="00722C28"/>
    <w:rsid w:val="007231AF"/>
    <w:rsid w:val="00723A51"/>
    <w:rsid w:val="00725B10"/>
    <w:rsid w:val="00726FD0"/>
    <w:rsid w:val="007278C6"/>
    <w:rsid w:val="00731966"/>
    <w:rsid w:val="007341EA"/>
    <w:rsid w:val="007343AD"/>
    <w:rsid w:val="00734D69"/>
    <w:rsid w:val="007368F2"/>
    <w:rsid w:val="007458DC"/>
    <w:rsid w:val="007554DE"/>
    <w:rsid w:val="0076027F"/>
    <w:rsid w:val="007619CF"/>
    <w:rsid w:val="00762C9B"/>
    <w:rsid w:val="007656A4"/>
    <w:rsid w:val="00766BDC"/>
    <w:rsid w:val="007740BB"/>
    <w:rsid w:val="00777506"/>
    <w:rsid w:val="00780F72"/>
    <w:rsid w:val="00787776"/>
    <w:rsid w:val="00791877"/>
    <w:rsid w:val="00797ABF"/>
    <w:rsid w:val="007A010E"/>
    <w:rsid w:val="007A68EE"/>
    <w:rsid w:val="007B1F0D"/>
    <w:rsid w:val="007B2275"/>
    <w:rsid w:val="007B24CD"/>
    <w:rsid w:val="007B35B4"/>
    <w:rsid w:val="007B6D9B"/>
    <w:rsid w:val="007C0CF3"/>
    <w:rsid w:val="007C5AC2"/>
    <w:rsid w:val="007C7C6D"/>
    <w:rsid w:val="007D123C"/>
    <w:rsid w:val="007D1D3B"/>
    <w:rsid w:val="007D7199"/>
    <w:rsid w:val="007E0B67"/>
    <w:rsid w:val="007E0F23"/>
    <w:rsid w:val="007E5AA0"/>
    <w:rsid w:val="007E6AEA"/>
    <w:rsid w:val="007F0161"/>
    <w:rsid w:val="007F3FD5"/>
    <w:rsid w:val="007F402A"/>
    <w:rsid w:val="007F572C"/>
    <w:rsid w:val="008008B1"/>
    <w:rsid w:val="00801BD5"/>
    <w:rsid w:val="0081070D"/>
    <w:rsid w:val="008108AF"/>
    <w:rsid w:val="008123C8"/>
    <w:rsid w:val="00816D95"/>
    <w:rsid w:val="00822B19"/>
    <w:rsid w:val="00825A83"/>
    <w:rsid w:val="0082652A"/>
    <w:rsid w:val="008321F1"/>
    <w:rsid w:val="00832FF3"/>
    <w:rsid w:val="00835F68"/>
    <w:rsid w:val="00840AD4"/>
    <w:rsid w:val="00840D37"/>
    <w:rsid w:val="0084144A"/>
    <w:rsid w:val="00842B14"/>
    <w:rsid w:val="00850098"/>
    <w:rsid w:val="00850741"/>
    <w:rsid w:val="00850C60"/>
    <w:rsid w:val="00851FC8"/>
    <w:rsid w:val="0085330B"/>
    <w:rsid w:val="00866948"/>
    <w:rsid w:val="00871800"/>
    <w:rsid w:val="00873754"/>
    <w:rsid w:val="008745A6"/>
    <w:rsid w:val="00877E8E"/>
    <w:rsid w:val="00886E26"/>
    <w:rsid w:val="0089027F"/>
    <w:rsid w:val="00893CE6"/>
    <w:rsid w:val="00895783"/>
    <w:rsid w:val="00896D57"/>
    <w:rsid w:val="00896FD9"/>
    <w:rsid w:val="0089722C"/>
    <w:rsid w:val="008A19A5"/>
    <w:rsid w:val="008A5651"/>
    <w:rsid w:val="008A6A43"/>
    <w:rsid w:val="008A74E2"/>
    <w:rsid w:val="008B7125"/>
    <w:rsid w:val="008B7A83"/>
    <w:rsid w:val="008B7BE3"/>
    <w:rsid w:val="008C73B8"/>
    <w:rsid w:val="008D3299"/>
    <w:rsid w:val="008F145B"/>
    <w:rsid w:val="008F46DA"/>
    <w:rsid w:val="008F5385"/>
    <w:rsid w:val="008F780B"/>
    <w:rsid w:val="00912577"/>
    <w:rsid w:val="00913CEE"/>
    <w:rsid w:val="00914875"/>
    <w:rsid w:val="00917150"/>
    <w:rsid w:val="00920AC8"/>
    <w:rsid w:val="00925D49"/>
    <w:rsid w:val="009305BA"/>
    <w:rsid w:val="00936E0C"/>
    <w:rsid w:val="009406C7"/>
    <w:rsid w:val="009422AA"/>
    <w:rsid w:val="0094372B"/>
    <w:rsid w:val="00944A25"/>
    <w:rsid w:val="0094548F"/>
    <w:rsid w:val="00947819"/>
    <w:rsid w:val="00947C09"/>
    <w:rsid w:val="00954063"/>
    <w:rsid w:val="00961138"/>
    <w:rsid w:val="00964F54"/>
    <w:rsid w:val="00967A39"/>
    <w:rsid w:val="009708BE"/>
    <w:rsid w:val="009711A4"/>
    <w:rsid w:val="00981C47"/>
    <w:rsid w:val="0098567F"/>
    <w:rsid w:val="0099013B"/>
    <w:rsid w:val="009953B7"/>
    <w:rsid w:val="009A15B0"/>
    <w:rsid w:val="009A65D4"/>
    <w:rsid w:val="009A7B82"/>
    <w:rsid w:val="009B1333"/>
    <w:rsid w:val="009B33EE"/>
    <w:rsid w:val="009B3E14"/>
    <w:rsid w:val="009C06F5"/>
    <w:rsid w:val="009C0EAF"/>
    <w:rsid w:val="009C543C"/>
    <w:rsid w:val="009C590E"/>
    <w:rsid w:val="009C70CE"/>
    <w:rsid w:val="009D3449"/>
    <w:rsid w:val="009E1D08"/>
    <w:rsid w:val="009E5C45"/>
    <w:rsid w:val="009E6E0B"/>
    <w:rsid w:val="009E7155"/>
    <w:rsid w:val="009F5916"/>
    <w:rsid w:val="00A02D67"/>
    <w:rsid w:val="00A035EA"/>
    <w:rsid w:val="00A0492E"/>
    <w:rsid w:val="00A073FC"/>
    <w:rsid w:val="00A11335"/>
    <w:rsid w:val="00A12F13"/>
    <w:rsid w:val="00A15BAC"/>
    <w:rsid w:val="00A1708B"/>
    <w:rsid w:val="00A23413"/>
    <w:rsid w:val="00A30E43"/>
    <w:rsid w:val="00A36898"/>
    <w:rsid w:val="00A403C5"/>
    <w:rsid w:val="00A40736"/>
    <w:rsid w:val="00A41D43"/>
    <w:rsid w:val="00A42D73"/>
    <w:rsid w:val="00A441CF"/>
    <w:rsid w:val="00A51070"/>
    <w:rsid w:val="00A52024"/>
    <w:rsid w:val="00A57CAC"/>
    <w:rsid w:val="00A60B96"/>
    <w:rsid w:val="00A64471"/>
    <w:rsid w:val="00A749FC"/>
    <w:rsid w:val="00A7514A"/>
    <w:rsid w:val="00A764F2"/>
    <w:rsid w:val="00A82757"/>
    <w:rsid w:val="00A835E3"/>
    <w:rsid w:val="00A84897"/>
    <w:rsid w:val="00A9753A"/>
    <w:rsid w:val="00AA6881"/>
    <w:rsid w:val="00AA7276"/>
    <w:rsid w:val="00AB1AA4"/>
    <w:rsid w:val="00AB239E"/>
    <w:rsid w:val="00AB284E"/>
    <w:rsid w:val="00AB5D7F"/>
    <w:rsid w:val="00AC426D"/>
    <w:rsid w:val="00AD7FF0"/>
    <w:rsid w:val="00AE118D"/>
    <w:rsid w:val="00AE45C0"/>
    <w:rsid w:val="00AE7D18"/>
    <w:rsid w:val="00AF11C0"/>
    <w:rsid w:val="00AF44D7"/>
    <w:rsid w:val="00B009D0"/>
    <w:rsid w:val="00B01800"/>
    <w:rsid w:val="00B03742"/>
    <w:rsid w:val="00B04783"/>
    <w:rsid w:val="00B047AB"/>
    <w:rsid w:val="00B05351"/>
    <w:rsid w:val="00B1017C"/>
    <w:rsid w:val="00B2192E"/>
    <w:rsid w:val="00B43137"/>
    <w:rsid w:val="00B43847"/>
    <w:rsid w:val="00B4760B"/>
    <w:rsid w:val="00B50AAC"/>
    <w:rsid w:val="00B516C5"/>
    <w:rsid w:val="00B54201"/>
    <w:rsid w:val="00B75D6D"/>
    <w:rsid w:val="00B82D7D"/>
    <w:rsid w:val="00B86E37"/>
    <w:rsid w:val="00B96A98"/>
    <w:rsid w:val="00BA37F9"/>
    <w:rsid w:val="00BA65EB"/>
    <w:rsid w:val="00BB09B8"/>
    <w:rsid w:val="00BB0A1E"/>
    <w:rsid w:val="00BB0A6D"/>
    <w:rsid w:val="00BB6B5F"/>
    <w:rsid w:val="00BB7646"/>
    <w:rsid w:val="00BC012C"/>
    <w:rsid w:val="00BC10AB"/>
    <w:rsid w:val="00BC4DF1"/>
    <w:rsid w:val="00BC6460"/>
    <w:rsid w:val="00BC6742"/>
    <w:rsid w:val="00BD232E"/>
    <w:rsid w:val="00BD2735"/>
    <w:rsid w:val="00BE147B"/>
    <w:rsid w:val="00BF0B67"/>
    <w:rsid w:val="00BF2073"/>
    <w:rsid w:val="00C02593"/>
    <w:rsid w:val="00C03B59"/>
    <w:rsid w:val="00C064FD"/>
    <w:rsid w:val="00C0675D"/>
    <w:rsid w:val="00C13B31"/>
    <w:rsid w:val="00C1402F"/>
    <w:rsid w:val="00C16D3B"/>
    <w:rsid w:val="00C1722E"/>
    <w:rsid w:val="00C2668B"/>
    <w:rsid w:val="00C30EEF"/>
    <w:rsid w:val="00C314BA"/>
    <w:rsid w:val="00C32813"/>
    <w:rsid w:val="00C4029F"/>
    <w:rsid w:val="00C408F2"/>
    <w:rsid w:val="00C4501E"/>
    <w:rsid w:val="00C51FA5"/>
    <w:rsid w:val="00C52575"/>
    <w:rsid w:val="00C5516E"/>
    <w:rsid w:val="00C56D60"/>
    <w:rsid w:val="00C572D0"/>
    <w:rsid w:val="00C61E78"/>
    <w:rsid w:val="00C659DA"/>
    <w:rsid w:val="00C662A2"/>
    <w:rsid w:val="00C66639"/>
    <w:rsid w:val="00C67393"/>
    <w:rsid w:val="00C759C3"/>
    <w:rsid w:val="00C76D6E"/>
    <w:rsid w:val="00C83F5A"/>
    <w:rsid w:val="00C858A8"/>
    <w:rsid w:val="00C91C78"/>
    <w:rsid w:val="00C9208B"/>
    <w:rsid w:val="00C93A7F"/>
    <w:rsid w:val="00C959A6"/>
    <w:rsid w:val="00C962CE"/>
    <w:rsid w:val="00CA2CD2"/>
    <w:rsid w:val="00CA4968"/>
    <w:rsid w:val="00CB1EA6"/>
    <w:rsid w:val="00CB30EE"/>
    <w:rsid w:val="00CB4163"/>
    <w:rsid w:val="00CC21BB"/>
    <w:rsid w:val="00CC31D5"/>
    <w:rsid w:val="00CD603D"/>
    <w:rsid w:val="00CF3BC4"/>
    <w:rsid w:val="00CF54D8"/>
    <w:rsid w:val="00CF738A"/>
    <w:rsid w:val="00D01677"/>
    <w:rsid w:val="00D022CF"/>
    <w:rsid w:val="00D02F31"/>
    <w:rsid w:val="00D03EC2"/>
    <w:rsid w:val="00D0583C"/>
    <w:rsid w:val="00D1176D"/>
    <w:rsid w:val="00D1594A"/>
    <w:rsid w:val="00D163B0"/>
    <w:rsid w:val="00D30B69"/>
    <w:rsid w:val="00D3205A"/>
    <w:rsid w:val="00D32A3B"/>
    <w:rsid w:val="00D33A8C"/>
    <w:rsid w:val="00D34B26"/>
    <w:rsid w:val="00D35880"/>
    <w:rsid w:val="00D445AE"/>
    <w:rsid w:val="00D468DE"/>
    <w:rsid w:val="00D4789F"/>
    <w:rsid w:val="00D507A2"/>
    <w:rsid w:val="00D50E2E"/>
    <w:rsid w:val="00D51F31"/>
    <w:rsid w:val="00D52160"/>
    <w:rsid w:val="00D52179"/>
    <w:rsid w:val="00D53ABE"/>
    <w:rsid w:val="00D56543"/>
    <w:rsid w:val="00D60BB7"/>
    <w:rsid w:val="00D63CB3"/>
    <w:rsid w:val="00D64A3A"/>
    <w:rsid w:val="00D74687"/>
    <w:rsid w:val="00D8011B"/>
    <w:rsid w:val="00D85105"/>
    <w:rsid w:val="00D9358B"/>
    <w:rsid w:val="00D93E2E"/>
    <w:rsid w:val="00D94EFC"/>
    <w:rsid w:val="00DA14E2"/>
    <w:rsid w:val="00DA2023"/>
    <w:rsid w:val="00DA41CE"/>
    <w:rsid w:val="00DA49F7"/>
    <w:rsid w:val="00DA68C4"/>
    <w:rsid w:val="00DA7A5C"/>
    <w:rsid w:val="00DB139F"/>
    <w:rsid w:val="00DB2ECF"/>
    <w:rsid w:val="00DD2AF8"/>
    <w:rsid w:val="00DD6A47"/>
    <w:rsid w:val="00DE01B8"/>
    <w:rsid w:val="00DE6496"/>
    <w:rsid w:val="00DE79AB"/>
    <w:rsid w:val="00DE7D2B"/>
    <w:rsid w:val="00DF4668"/>
    <w:rsid w:val="00E026D3"/>
    <w:rsid w:val="00E1596E"/>
    <w:rsid w:val="00E1728B"/>
    <w:rsid w:val="00E21E81"/>
    <w:rsid w:val="00E25607"/>
    <w:rsid w:val="00E26496"/>
    <w:rsid w:val="00E26F92"/>
    <w:rsid w:val="00E304F4"/>
    <w:rsid w:val="00E30745"/>
    <w:rsid w:val="00E31F2F"/>
    <w:rsid w:val="00E32637"/>
    <w:rsid w:val="00E32E1D"/>
    <w:rsid w:val="00E33252"/>
    <w:rsid w:val="00E375E9"/>
    <w:rsid w:val="00E4107B"/>
    <w:rsid w:val="00E43C3C"/>
    <w:rsid w:val="00E5201E"/>
    <w:rsid w:val="00E56FAF"/>
    <w:rsid w:val="00E60B58"/>
    <w:rsid w:val="00E64D64"/>
    <w:rsid w:val="00E65182"/>
    <w:rsid w:val="00E659EC"/>
    <w:rsid w:val="00E7080B"/>
    <w:rsid w:val="00E71C7A"/>
    <w:rsid w:val="00E75976"/>
    <w:rsid w:val="00E81BDA"/>
    <w:rsid w:val="00E8523B"/>
    <w:rsid w:val="00E85B3A"/>
    <w:rsid w:val="00E87DB6"/>
    <w:rsid w:val="00E9141D"/>
    <w:rsid w:val="00E919CA"/>
    <w:rsid w:val="00E932FF"/>
    <w:rsid w:val="00E97230"/>
    <w:rsid w:val="00EA2B1B"/>
    <w:rsid w:val="00EA4C3E"/>
    <w:rsid w:val="00EA4DBC"/>
    <w:rsid w:val="00EA79ED"/>
    <w:rsid w:val="00EB4002"/>
    <w:rsid w:val="00EB5AB0"/>
    <w:rsid w:val="00EB5F33"/>
    <w:rsid w:val="00EB614B"/>
    <w:rsid w:val="00EB7CF3"/>
    <w:rsid w:val="00EC020B"/>
    <w:rsid w:val="00EC1254"/>
    <w:rsid w:val="00EC339A"/>
    <w:rsid w:val="00EC3492"/>
    <w:rsid w:val="00EC362E"/>
    <w:rsid w:val="00EC6651"/>
    <w:rsid w:val="00EC7429"/>
    <w:rsid w:val="00ED1731"/>
    <w:rsid w:val="00ED1994"/>
    <w:rsid w:val="00ED725F"/>
    <w:rsid w:val="00ED7A87"/>
    <w:rsid w:val="00EE02DC"/>
    <w:rsid w:val="00EE61E2"/>
    <w:rsid w:val="00EF0015"/>
    <w:rsid w:val="00F0056E"/>
    <w:rsid w:val="00F039C0"/>
    <w:rsid w:val="00F060B4"/>
    <w:rsid w:val="00F15BF3"/>
    <w:rsid w:val="00F15F7C"/>
    <w:rsid w:val="00F2230E"/>
    <w:rsid w:val="00F36169"/>
    <w:rsid w:val="00F36189"/>
    <w:rsid w:val="00F41205"/>
    <w:rsid w:val="00F425ED"/>
    <w:rsid w:val="00F47C23"/>
    <w:rsid w:val="00F514E8"/>
    <w:rsid w:val="00F54ABF"/>
    <w:rsid w:val="00F55102"/>
    <w:rsid w:val="00F57E6A"/>
    <w:rsid w:val="00F66421"/>
    <w:rsid w:val="00F664A7"/>
    <w:rsid w:val="00F70651"/>
    <w:rsid w:val="00F7202A"/>
    <w:rsid w:val="00F759A7"/>
    <w:rsid w:val="00F76495"/>
    <w:rsid w:val="00F80A5E"/>
    <w:rsid w:val="00F82E69"/>
    <w:rsid w:val="00F83587"/>
    <w:rsid w:val="00F85CDC"/>
    <w:rsid w:val="00F865A1"/>
    <w:rsid w:val="00F871C1"/>
    <w:rsid w:val="00F92E1D"/>
    <w:rsid w:val="00F93A98"/>
    <w:rsid w:val="00F97CEB"/>
    <w:rsid w:val="00FA0513"/>
    <w:rsid w:val="00FA447B"/>
    <w:rsid w:val="00FA456A"/>
    <w:rsid w:val="00FA4BEC"/>
    <w:rsid w:val="00FA4CA4"/>
    <w:rsid w:val="00FA78AA"/>
    <w:rsid w:val="00FB204D"/>
    <w:rsid w:val="00FB41CA"/>
    <w:rsid w:val="00FB590A"/>
    <w:rsid w:val="00FB60ED"/>
    <w:rsid w:val="00FC1FC2"/>
    <w:rsid w:val="00FC2654"/>
    <w:rsid w:val="00FC44E3"/>
    <w:rsid w:val="00FC592D"/>
    <w:rsid w:val="00FC6B80"/>
    <w:rsid w:val="00FD2ADC"/>
    <w:rsid w:val="00FD479F"/>
    <w:rsid w:val="00FE38F5"/>
    <w:rsid w:val="00FE4E05"/>
    <w:rsid w:val="00FE5F04"/>
    <w:rsid w:val="00FF6E99"/>
    <w:rsid w:val="0A53CAE4"/>
    <w:rsid w:val="0B8E58CC"/>
    <w:rsid w:val="0CFAAE05"/>
    <w:rsid w:val="19A573B4"/>
    <w:rsid w:val="1C897AC3"/>
    <w:rsid w:val="1DC357D2"/>
    <w:rsid w:val="339F7475"/>
    <w:rsid w:val="35040A49"/>
    <w:rsid w:val="413D0DB4"/>
    <w:rsid w:val="427DBF4E"/>
    <w:rsid w:val="47AF2247"/>
    <w:rsid w:val="4BD77DDE"/>
    <w:rsid w:val="5884BA91"/>
    <w:rsid w:val="5D4D93A2"/>
    <w:rsid w:val="5EB37D5E"/>
    <w:rsid w:val="60539121"/>
    <w:rsid w:val="6832AC89"/>
    <w:rsid w:val="68D300E7"/>
    <w:rsid w:val="7DFDFD42"/>
    <w:rsid w:val="7EF9F5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C041D0"/>
  <w15:docId w15:val="{B3A71CCF-AF0B-491C-8741-0B50461C0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64A7"/>
  </w:style>
  <w:style w:type="paragraph" w:styleId="Heading1">
    <w:name w:val="heading 1"/>
    <w:basedOn w:val="Normal"/>
    <w:next w:val="Normal"/>
    <w:link w:val="Heading1Char"/>
    <w:uiPriority w:val="9"/>
    <w:qFormat/>
    <w:rsid w:val="0048572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C1254"/>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NoSpacing">
    <w:name w:val="No Spacing"/>
    <w:uiPriority w:val="1"/>
    <w:qFormat/>
    <w:rsid w:val="00EC1254"/>
    <w:pPr>
      <w:spacing w:after="0" w:line="240" w:lineRule="auto"/>
    </w:pPr>
  </w:style>
  <w:style w:type="character" w:styleId="CommentReference">
    <w:name w:val="annotation reference"/>
    <w:basedOn w:val="DefaultParagraphFont"/>
    <w:rsid w:val="00FA4CA4"/>
    <w:rPr>
      <w:sz w:val="16"/>
      <w:szCs w:val="16"/>
    </w:rPr>
  </w:style>
  <w:style w:type="paragraph" w:styleId="CommentText">
    <w:name w:val="annotation text"/>
    <w:basedOn w:val="Normal"/>
    <w:link w:val="CommentTextChar"/>
    <w:rsid w:val="00FA4CA4"/>
    <w:pPr>
      <w:spacing w:line="240" w:lineRule="auto"/>
    </w:pPr>
    <w:rPr>
      <w:sz w:val="20"/>
      <w:szCs w:val="20"/>
    </w:rPr>
  </w:style>
  <w:style w:type="character" w:customStyle="1" w:styleId="CommentTextChar">
    <w:name w:val="Comment Text Char"/>
    <w:basedOn w:val="DefaultParagraphFont"/>
    <w:link w:val="CommentText"/>
    <w:rsid w:val="00FA4CA4"/>
    <w:rPr>
      <w:sz w:val="20"/>
      <w:szCs w:val="20"/>
    </w:rPr>
  </w:style>
  <w:style w:type="paragraph" w:styleId="BalloonText">
    <w:name w:val="Balloon Text"/>
    <w:basedOn w:val="Normal"/>
    <w:link w:val="BalloonTextChar"/>
    <w:uiPriority w:val="99"/>
    <w:semiHidden/>
    <w:unhideWhenUsed/>
    <w:rsid w:val="00FA4C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4CA4"/>
    <w:rPr>
      <w:rFonts w:ascii="Tahoma" w:hAnsi="Tahoma" w:cs="Tahoma"/>
      <w:sz w:val="16"/>
      <w:szCs w:val="16"/>
    </w:rPr>
  </w:style>
  <w:style w:type="paragraph" w:styleId="NormalWeb">
    <w:name w:val="Normal (Web)"/>
    <w:basedOn w:val="Normal"/>
    <w:rsid w:val="00FA4CA4"/>
    <w:pPr>
      <w:spacing w:before="100" w:beforeAutospacing="1" w:after="100" w:afterAutospacing="1"/>
    </w:pPr>
    <w:rPr>
      <w:sz w:val="24"/>
      <w:szCs w:val="24"/>
    </w:rPr>
  </w:style>
  <w:style w:type="paragraph" w:styleId="FootnoteText">
    <w:name w:val="footnote text"/>
    <w:basedOn w:val="Normal"/>
    <w:link w:val="FootnoteTextChar"/>
    <w:rsid w:val="00FA4CA4"/>
    <w:pPr>
      <w:widowControl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FA4CA4"/>
    <w:rPr>
      <w:rFonts w:ascii="Times New Roman" w:eastAsia="Times New Roman" w:hAnsi="Times New Roman" w:cs="Times New Roman"/>
      <w:sz w:val="20"/>
      <w:szCs w:val="20"/>
    </w:rPr>
  </w:style>
  <w:style w:type="character" w:styleId="FootnoteReference">
    <w:name w:val="footnote reference"/>
    <w:basedOn w:val="DefaultParagraphFont"/>
    <w:rsid w:val="00FA4CA4"/>
    <w:rPr>
      <w:vertAlign w:val="superscript"/>
    </w:rPr>
  </w:style>
  <w:style w:type="paragraph" w:styleId="Header">
    <w:name w:val="header"/>
    <w:basedOn w:val="Normal"/>
    <w:link w:val="HeaderChar"/>
    <w:uiPriority w:val="99"/>
    <w:unhideWhenUsed/>
    <w:rsid w:val="00FA44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447B"/>
  </w:style>
  <w:style w:type="paragraph" w:styleId="Footer">
    <w:name w:val="footer"/>
    <w:basedOn w:val="Normal"/>
    <w:link w:val="FooterChar"/>
    <w:uiPriority w:val="99"/>
    <w:unhideWhenUsed/>
    <w:rsid w:val="00FA44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447B"/>
  </w:style>
  <w:style w:type="paragraph" w:styleId="ListParagraph">
    <w:name w:val="List Paragraph"/>
    <w:basedOn w:val="Normal"/>
    <w:uiPriority w:val="34"/>
    <w:qFormat/>
    <w:rsid w:val="00EB614B"/>
    <w:pPr>
      <w:ind w:left="720"/>
      <w:contextualSpacing/>
    </w:pPr>
  </w:style>
  <w:style w:type="table" w:styleId="TableGrid">
    <w:name w:val="Table Grid"/>
    <w:basedOn w:val="TableNormal"/>
    <w:uiPriority w:val="59"/>
    <w:rsid w:val="00A035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45AAE"/>
    <w:rPr>
      <w:color w:val="0000FF" w:themeColor="hyperlink"/>
      <w:u w:val="single"/>
    </w:rPr>
  </w:style>
  <w:style w:type="table" w:styleId="GridTable4-Accent1">
    <w:name w:val="Grid Table 4 Accent 1"/>
    <w:basedOn w:val="TableNormal"/>
    <w:uiPriority w:val="49"/>
    <w:rsid w:val="003D732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Emphasis">
    <w:name w:val="Emphasis"/>
    <w:basedOn w:val="DefaultParagraphFont"/>
    <w:uiPriority w:val="20"/>
    <w:qFormat/>
    <w:rsid w:val="00262CF4"/>
    <w:rPr>
      <w:i/>
      <w:iCs/>
    </w:rPr>
  </w:style>
  <w:style w:type="character" w:styleId="Strong">
    <w:name w:val="Strong"/>
    <w:basedOn w:val="DefaultParagraphFont"/>
    <w:uiPriority w:val="22"/>
    <w:qFormat/>
    <w:rsid w:val="00CF54D8"/>
    <w:rPr>
      <w:b/>
      <w:bCs/>
    </w:rPr>
  </w:style>
  <w:style w:type="character" w:styleId="FollowedHyperlink">
    <w:name w:val="FollowedHyperlink"/>
    <w:basedOn w:val="DefaultParagraphFont"/>
    <w:uiPriority w:val="99"/>
    <w:semiHidden/>
    <w:unhideWhenUsed/>
    <w:rsid w:val="00ED1994"/>
    <w:rPr>
      <w:color w:val="800080" w:themeColor="followedHyperlink"/>
      <w:u w:val="single"/>
    </w:rPr>
  </w:style>
  <w:style w:type="character" w:styleId="PlaceholderText">
    <w:name w:val="Placeholder Text"/>
    <w:basedOn w:val="DefaultParagraphFont"/>
    <w:uiPriority w:val="99"/>
    <w:semiHidden/>
    <w:rsid w:val="003E38A3"/>
    <w:rPr>
      <w:color w:val="808080"/>
    </w:rPr>
  </w:style>
  <w:style w:type="character" w:styleId="UnresolvedMention">
    <w:name w:val="Unresolved Mention"/>
    <w:basedOn w:val="DefaultParagraphFont"/>
    <w:uiPriority w:val="99"/>
    <w:semiHidden/>
    <w:unhideWhenUsed/>
    <w:rsid w:val="002206D3"/>
    <w:rPr>
      <w:color w:val="605E5C"/>
      <w:shd w:val="clear" w:color="auto" w:fill="E1DFDD"/>
    </w:rPr>
  </w:style>
  <w:style w:type="table" w:styleId="GridTable5Dark-Accent2">
    <w:name w:val="Grid Table 5 Dark Accent 2"/>
    <w:basedOn w:val="TableNormal"/>
    <w:uiPriority w:val="50"/>
    <w:rsid w:val="009711A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Style1">
    <w:name w:val="Style1"/>
    <w:basedOn w:val="TableNormal"/>
    <w:uiPriority w:val="99"/>
    <w:rsid w:val="00200759"/>
    <w:pPr>
      <w:spacing w:after="0" w:line="240" w:lineRule="auto"/>
    </w:pPr>
    <w:tblPr/>
    <w:tblStylePr w:type="firstRow">
      <w:rPr>
        <w:rFonts w:asciiTheme="majorHAnsi" w:hAnsiTheme="majorHAnsi"/>
        <w:b/>
        <w:sz w:val="24"/>
      </w:rPr>
      <w:tblPr/>
      <w:tcPr>
        <w:shd w:val="clear" w:color="auto" w:fill="D9D9D9" w:themeFill="background1" w:themeFillShade="D9"/>
      </w:tcPr>
    </w:tblStylePr>
  </w:style>
  <w:style w:type="table" w:styleId="GridTable1Light">
    <w:name w:val="Grid Table 1 Light"/>
    <w:basedOn w:val="TableNormal"/>
    <w:uiPriority w:val="46"/>
    <w:rsid w:val="0020075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Shading">
    <w:name w:val="Table Shading"/>
    <w:basedOn w:val="TableNormal"/>
    <w:uiPriority w:val="99"/>
    <w:rsid w:val="00563EBF"/>
    <w:pPr>
      <w:spacing w:after="0" w:line="240" w:lineRule="auto"/>
    </w:pPr>
    <w:tblPr>
      <w:tblStyleRowBandSize w:val="1"/>
    </w:tblPr>
    <w:tblStylePr w:type="firstRow">
      <w:rPr>
        <w:b/>
      </w:rPr>
      <w:tblPr/>
      <w:tcPr>
        <w:shd w:val="clear" w:color="auto" w:fill="D9D9D9" w:themeFill="background1" w:themeFillShade="D9"/>
      </w:tcPr>
    </w:tblStylePr>
    <w:tblStylePr w:type="band2Horz">
      <w:tblPr/>
      <w:tcPr>
        <w:shd w:val="clear" w:color="auto" w:fill="D9D9D9" w:themeFill="background1" w:themeFillShade="D9"/>
      </w:tcPr>
    </w:tblStylePr>
  </w:style>
  <w:style w:type="character" w:customStyle="1" w:styleId="Heading1Char">
    <w:name w:val="Heading 1 Char"/>
    <w:basedOn w:val="DefaultParagraphFont"/>
    <w:link w:val="Heading1"/>
    <w:uiPriority w:val="9"/>
    <w:rsid w:val="00485721"/>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trainingportal.harvard.edu/Saba/Web_spf/NA1PRD0068/pages/pagedetailview/spage000000000006460" TargetMode="External"/><Relationship Id="rId21" Type="http://schemas.openxmlformats.org/officeDocument/2006/relationships/hyperlink" Target="http://policies.fad.harvard.edu/pages/business_expense_reimbursements" TargetMode="External"/><Relationship Id="rId42" Type="http://schemas.openxmlformats.org/officeDocument/2006/relationships/hyperlink" Target="https://internalcontrols.oc.finance.harvard.edu/sites/g/files/omnuum11766/files/internalcontrols/files/property_plant_equipment_controls_072024.pdf" TargetMode="External"/><Relationship Id="rId47" Type="http://schemas.openxmlformats.org/officeDocument/2006/relationships/hyperlink" Target="http://policies.fad.harvard.edu/pages/fraud" TargetMode="External"/><Relationship Id="rId63" Type="http://schemas.openxmlformats.org/officeDocument/2006/relationships/hyperlink" Target="https://trainingportal.harvard.edu/Saba/Web_spf/NA1PRD0068/pages/pagedetailview/spage000000000006441" TargetMode="External"/><Relationship Id="rId68" Type="http://schemas.openxmlformats.org/officeDocument/2006/relationships/hyperlink" Target="http://policies.fad.harvard.edu/pages/petty-cash" TargetMode="External"/><Relationship Id="rId84" Type="http://schemas.openxmlformats.org/officeDocument/2006/relationships/hyperlink" Target="https://internalcontrols.oc.finance.harvard.edu/sponsored-awards-program" TargetMode="External"/><Relationship Id="rId89" Type="http://schemas.openxmlformats.org/officeDocument/2006/relationships/hyperlink" Target="http://policies.fad.harvard.edu/short-term-operating-advances" TargetMode="External"/><Relationship Id="rId16" Type="http://schemas.openxmlformats.org/officeDocument/2006/relationships/hyperlink" Target="https://internalcontrols.oc.finance.harvard.edu/cash-management" TargetMode="External"/><Relationship Id="rId107" Type="http://schemas.openxmlformats.org/officeDocument/2006/relationships/header" Target="header1.xml"/><Relationship Id="rId11" Type="http://schemas.openxmlformats.org/officeDocument/2006/relationships/hyperlink" Target="http://policies.fad.harvard.edu/" TargetMode="External"/><Relationship Id="rId32" Type="http://schemas.openxmlformats.org/officeDocument/2006/relationships/hyperlink" Target="https://trainingportal.harvard.edu/Saba/Web_spf/NA1PRD0068/pages/pagedetailview/spage000000000006443" TargetMode="External"/><Relationship Id="rId37" Type="http://schemas.openxmlformats.org/officeDocument/2006/relationships/hyperlink" Target="http://policies.fad.harvard.edu/files/fad_policies/files/fellowships_toolkit_2.5.15_0.pdf" TargetMode="External"/><Relationship Id="rId53" Type="http://schemas.openxmlformats.org/officeDocument/2006/relationships/hyperlink" Target="https://trainingportal.harvard.edu/Saba/Web_spf/NA1PRD0068/pages/pagedetailview/spage000000000006443" TargetMode="External"/><Relationship Id="rId58" Type="http://schemas.openxmlformats.org/officeDocument/2006/relationships/hyperlink" Target="http://policies.fad.harvard.edu/pages/independent-contractors" TargetMode="External"/><Relationship Id="rId74" Type="http://schemas.openxmlformats.org/officeDocument/2006/relationships/hyperlink" Target="https://policies.fad.harvard.edu/pages/purchasing-card" TargetMode="External"/><Relationship Id="rId79" Type="http://schemas.openxmlformats.org/officeDocument/2006/relationships/hyperlink" Target="http://policies.fad.harvard.edu/pages/reserves-bad-debt" TargetMode="External"/><Relationship Id="rId102" Type="http://schemas.openxmlformats.org/officeDocument/2006/relationships/hyperlink" Target="https://internalcontrols.oc.finance.harvard.edu/business-expense-reimbursement-concur" TargetMode="External"/><Relationship Id="rId5" Type="http://schemas.openxmlformats.org/officeDocument/2006/relationships/numbering" Target="numbering.xml"/><Relationship Id="rId90" Type="http://schemas.openxmlformats.org/officeDocument/2006/relationships/hyperlink" Target="https://trainingportal.harvard.edu/Saba/Web_spf/NA1PRD0068/pages/pagedetailview/spage000000000006443" TargetMode="External"/><Relationship Id="rId95" Type="http://schemas.openxmlformats.org/officeDocument/2006/relationships/hyperlink" Target="http://policies.fad.harvard.edu/time-entry-and-approval-non-exempt-employees" TargetMode="External"/><Relationship Id="rId22" Type="http://schemas.openxmlformats.org/officeDocument/2006/relationships/hyperlink" Target="https://internalcontrols.oc.finance.harvard.edu/business-expense-reimbursement-concur" TargetMode="External"/><Relationship Id="rId27" Type="http://schemas.openxmlformats.org/officeDocument/2006/relationships/hyperlink" Target="https://policies.fad.harvard.edu/classification-employee-fellow-vs-nonemployee-fellow" TargetMode="External"/><Relationship Id="rId43" Type="http://schemas.openxmlformats.org/officeDocument/2006/relationships/hyperlink" Target="https://trainingportal.harvard.edu/Saba/Web_spf/NA1PRD0068/pages/pagedetailview/spage000000000006443" TargetMode="External"/><Relationship Id="rId48" Type="http://schemas.openxmlformats.org/officeDocument/2006/relationships/hyperlink" Target="https://trainingportal.harvard.edu/Saba/Web_spf/NA1PRD0068/pages/pagelistview/pgcnt000000000116899" TargetMode="External"/><Relationship Id="rId64" Type="http://schemas.openxmlformats.org/officeDocument/2006/relationships/hyperlink" Target="http://policies.fad.harvard.edu/pages/internal-transfers" TargetMode="External"/><Relationship Id="rId69" Type="http://schemas.openxmlformats.org/officeDocument/2006/relationships/hyperlink" Target="https://trainingportal.harvard.edu/Saba/Web_spf/NA1PRD0068/pages/pagedetailview/spage000000000006443" TargetMode="External"/><Relationship Id="rId80" Type="http://schemas.openxmlformats.org/officeDocument/2006/relationships/hyperlink" Target="https://policies.fad.harvard.edu/responsibilities-purchasers-preparers-and-approvers" TargetMode="External"/><Relationship Id="rId85" Type="http://schemas.openxmlformats.org/officeDocument/2006/relationships/hyperlink" Target="https://trainingportal.harvard.edu/Saba/Web_spf/NA1PRD0068/pages/pagelistview/pgcnt000000000116899" TargetMode="External"/><Relationship Id="rId12" Type="http://schemas.openxmlformats.org/officeDocument/2006/relationships/hyperlink" Target="https://trainingportal.harvard.edu/Saba/Web_spf/NA1PRD0068/app/workspace/pgcnt000000000116897?redirectedFormOld=true" TargetMode="External"/><Relationship Id="rId17" Type="http://schemas.openxmlformats.org/officeDocument/2006/relationships/hyperlink" Target="https://trainingportal.harvard.edu/Saba/Web_spf/NA1PRD0068/pages/pagedetailview/spage000000000006265" TargetMode="External"/><Relationship Id="rId33" Type="http://schemas.openxmlformats.org/officeDocument/2006/relationships/hyperlink" Target="https://trainingportal.harvard.edu/Saba/Web_spf/NA1PRD0068/pages/pagedetailview/spage000000000006441" TargetMode="External"/><Relationship Id="rId38" Type="http://schemas.openxmlformats.org/officeDocument/2006/relationships/hyperlink" Target="https://trainingportal.harvard.edu/Saba/Web_spf/NA1PRD0068/pages/pagedetailview/spage000000000006443" TargetMode="External"/><Relationship Id="rId59" Type="http://schemas.openxmlformats.org/officeDocument/2006/relationships/hyperlink" Target="https://trainingportal.harvard.edu/Saba/Web_spf/NA1PRD0068/pages/pagedetailview/spage000000000006443" TargetMode="External"/><Relationship Id="rId103" Type="http://schemas.openxmlformats.org/officeDocument/2006/relationships/hyperlink" Target="https://trainingportal.harvard.edu/Saba/Web_spf/NA1PRD0068/pages/pagedetailview/spage000000000006443" TargetMode="External"/><Relationship Id="rId108" Type="http://schemas.openxmlformats.org/officeDocument/2006/relationships/footer" Target="footer1.xml"/><Relationship Id="rId54" Type="http://schemas.openxmlformats.org/officeDocument/2006/relationships/hyperlink" Target="https://trainingportal.harvard.edu/Saba/Web_spf/NA1PRD0068/pages/pagedetailview/spage000000000006441" TargetMode="External"/><Relationship Id="rId70" Type="http://schemas.openxmlformats.org/officeDocument/2006/relationships/hyperlink" Target="https://policies.fad.harvard.edu/procurement" TargetMode="External"/><Relationship Id="rId75" Type="http://schemas.openxmlformats.org/officeDocument/2006/relationships/hyperlink" Target="https://policies.fad.harvard.edu/credit-card-policy" TargetMode="External"/><Relationship Id="rId91" Type="http://schemas.openxmlformats.org/officeDocument/2006/relationships/hyperlink" Target="https://policies.fad.harvard.edu/staff-mobile-phone-policy" TargetMode="External"/><Relationship Id="rId96" Type="http://schemas.openxmlformats.org/officeDocument/2006/relationships/hyperlink" Target="https://internalcontrols.oc.finance.harvard.edu/payroll"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policies.fad.harvard.edu/pages/accepting-credit-card-payments" TargetMode="External"/><Relationship Id="rId23" Type="http://schemas.openxmlformats.org/officeDocument/2006/relationships/hyperlink" Target="https://trainingportal.harvard.edu/Saba/Web_spf/NA1PRD0068/pages/pagedetailview/spage000000000006443" TargetMode="External"/><Relationship Id="rId28" Type="http://schemas.openxmlformats.org/officeDocument/2006/relationships/hyperlink" Target="https://trainingportal.harvard.edu/Saba/Web_spf/NA1PRD0068/pages/pagedetailview/spage000000000006443" TargetMode="External"/><Relationship Id="rId36" Type="http://schemas.openxmlformats.org/officeDocument/2006/relationships/hyperlink" Target="http://policies.fad.harvard.edu/fellowships-vs-reimbursements" TargetMode="External"/><Relationship Id="rId49" Type="http://schemas.openxmlformats.org/officeDocument/2006/relationships/hyperlink" Target="http://policies.fad.harvard.edu/pages/employee-gifts-and-celebratory-events" TargetMode="External"/><Relationship Id="rId57" Type="http://schemas.openxmlformats.org/officeDocument/2006/relationships/hyperlink" Target="https://trainingportal.harvard.edu/Saba/Web_spf/NA1PRD0068/pages/pagedetailview/spage000000000006441" TargetMode="External"/><Relationship Id="rId106" Type="http://schemas.openxmlformats.org/officeDocument/2006/relationships/hyperlink" Target="https://trainingportal.harvard.edu/Saba/Web_spf/NA1PRD0068/pages/pagedetailview/spage000000000006460" TargetMode="External"/><Relationship Id="rId10" Type="http://schemas.openxmlformats.org/officeDocument/2006/relationships/endnotes" Target="endnotes.xml"/><Relationship Id="rId31" Type="http://schemas.openxmlformats.org/officeDocument/2006/relationships/hyperlink" Target="http://policies.fad.harvard.edu/pages/expense-recognition" TargetMode="External"/><Relationship Id="rId44" Type="http://schemas.openxmlformats.org/officeDocument/2006/relationships/hyperlink" Target="https://trainingportal.harvard.edu/Saba/Web_spf/NA1PRD0068/pages/pagedetailview/spage000000000006267" TargetMode="External"/><Relationship Id="rId52" Type="http://schemas.openxmlformats.org/officeDocument/2006/relationships/hyperlink" Target="http://policies.fad.harvard.edu/pages/honoraria-foreign-nationals" TargetMode="External"/><Relationship Id="rId60" Type="http://schemas.openxmlformats.org/officeDocument/2006/relationships/hyperlink" Target="http://policies.fad.harvard.edu/pages/internal-billing-transactions" TargetMode="External"/><Relationship Id="rId65" Type="http://schemas.openxmlformats.org/officeDocument/2006/relationships/hyperlink" Target="https://internalcontrols.oc.finance.harvard.edu/financial-close-and-reporting" TargetMode="External"/><Relationship Id="rId73" Type="http://schemas.openxmlformats.org/officeDocument/2006/relationships/hyperlink" Target="https://trainingportal.harvard.edu/Saba/Web_spf/NA1PRD0068/pages/pagedetailview/spage000000000006441" TargetMode="External"/><Relationship Id="rId78" Type="http://schemas.openxmlformats.org/officeDocument/2006/relationships/hyperlink" Target="https://trainingportal.harvard.edu/Saba/Web_spf/NA1PRD0068/pages/pagedetailview/spage000000000006265" TargetMode="External"/><Relationship Id="rId81" Type="http://schemas.openxmlformats.org/officeDocument/2006/relationships/hyperlink" Target="https://internalcontrols.oc.finance.harvard.edu/procure-pay" TargetMode="External"/><Relationship Id="rId86" Type="http://schemas.openxmlformats.org/officeDocument/2006/relationships/hyperlink" Target="http://policies.fad.harvard.edu/pages/restricted-fund-spending-compliance" TargetMode="External"/><Relationship Id="rId94" Type="http://schemas.openxmlformats.org/officeDocument/2006/relationships/hyperlink" Target="https://trainingportal.harvard.edu/Saba/Web_spf/NA1PRD0068/pages/pagedetailview/spage000000000006443" TargetMode="External"/><Relationship Id="rId99" Type="http://schemas.openxmlformats.org/officeDocument/2006/relationships/hyperlink" Target="https://trainingportal.harvard.edu/Saba/Web_spf/NA1PRD0068/pages/pagedetailview/spage000000000006443" TargetMode="External"/><Relationship Id="rId101" Type="http://schemas.openxmlformats.org/officeDocument/2006/relationships/hyperlink" Target="https://policies.fad.harvard.edu/credit-card-policy"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internalcontrols.oc.finance.harvard.edu/" TargetMode="External"/><Relationship Id="rId18" Type="http://schemas.openxmlformats.org/officeDocument/2006/relationships/hyperlink" Target="http://policies.fad.harvard.edu/pages/bank-accounts" TargetMode="External"/><Relationship Id="rId39" Type="http://schemas.openxmlformats.org/officeDocument/2006/relationships/hyperlink" Target="https://trainingportal.harvard.edu/Saba/Web_spf/NA1PRD0068/pages/pagedetailview/spage000000000006441" TargetMode="External"/><Relationship Id="rId109" Type="http://schemas.openxmlformats.org/officeDocument/2006/relationships/fontTable" Target="fontTable.xml"/><Relationship Id="rId34" Type="http://schemas.openxmlformats.org/officeDocument/2006/relationships/hyperlink" Target="https://harvie.harvard.edu/out-state-employment" TargetMode="External"/><Relationship Id="rId50" Type="http://schemas.openxmlformats.org/officeDocument/2006/relationships/hyperlink" Target="https://trainingportal.harvard.edu/Saba/Web_spf/NA1PRD0068/pages/pagedetailview/spage000000000006443" TargetMode="External"/><Relationship Id="rId55" Type="http://schemas.openxmlformats.org/officeDocument/2006/relationships/hyperlink" Target="http://policies.fad.harvard.edu/pages/human-subject-payments" TargetMode="External"/><Relationship Id="rId76" Type="http://schemas.openxmlformats.org/officeDocument/2006/relationships/hyperlink" Target="https://internal.procurement.finance.harvard.edu/concur-pcard" TargetMode="External"/><Relationship Id="rId97" Type="http://schemas.openxmlformats.org/officeDocument/2006/relationships/hyperlink" Target="http://policies.fad.harvard.edu/pages/travel-0" TargetMode="External"/><Relationship Id="rId104" Type="http://schemas.openxmlformats.org/officeDocument/2006/relationships/hyperlink" Target="https://trainingportal.harvard.edu/Saba/Web_spf/NA1PRD0068/pages/pagedetailview/spage000000000006441" TargetMode="External"/><Relationship Id="rId7" Type="http://schemas.openxmlformats.org/officeDocument/2006/relationships/settings" Target="settings.xml"/><Relationship Id="rId71" Type="http://schemas.openxmlformats.org/officeDocument/2006/relationships/hyperlink" Target="https://internalcontrols.oc.finance.harvard.edu/procure-pay" TargetMode="External"/><Relationship Id="rId92" Type="http://schemas.openxmlformats.org/officeDocument/2006/relationships/hyperlink" Target="https://trainingportal.harvard.edu/Saba/Web_spf/NA1PRD0068/pages/pagedetailview/spage000000000006441" TargetMode="External"/><Relationship Id="rId2" Type="http://schemas.openxmlformats.org/officeDocument/2006/relationships/customXml" Target="../customXml/item2.xml"/><Relationship Id="rId29" Type="http://schemas.openxmlformats.org/officeDocument/2006/relationships/hyperlink" Target="https://trainingportal.harvard.edu/Saba/Web_spf/NA1PRD0068/pages/pagedetailview/spage000000000006441" TargetMode="External"/><Relationship Id="rId24" Type="http://schemas.openxmlformats.org/officeDocument/2006/relationships/hyperlink" Target="https://trainingportal.harvard.edu/Saba/Web_spf/NA1PRD0068/pages/pagedetailview/spage000000000006441" TargetMode="External"/><Relationship Id="rId40" Type="http://schemas.openxmlformats.org/officeDocument/2006/relationships/hyperlink" Target="http://policies.fad.harvard.edu/pages/facilities-and-equipment" TargetMode="External"/><Relationship Id="rId45" Type="http://schemas.openxmlformats.org/officeDocument/2006/relationships/hyperlink" Target="http://policies.fad.harvard.edu/pages/financial-systems-access" TargetMode="External"/><Relationship Id="rId66" Type="http://schemas.openxmlformats.org/officeDocument/2006/relationships/hyperlink" Target="http://policies.fad.harvard.edu/accounting-leases" TargetMode="External"/><Relationship Id="rId87" Type="http://schemas.openxmlformats.org/officeDocument/2006/relationships/hyperlink" Target="http://policies.fad.harvard.edu/pages/revenue-recognition" TargetMode="External"/><Relationship Id="rId110" Type="http://schemas.openxmlformats.org/officeDocument/2006/relationships/theme" Target="theme/theme1.xml"/><Relationship Id="rId61" Type="http://schemas.openxmlformats.org/officeDocument/2006/relationships/hyperlink" Target="https://internalcontrols.oc.finance.harvard.edu/financial-close-and-reporting" TargetMode="External"/><Relationship Id="rId82" Type="http://schemas.openxmlformats.org/officeDocument/2006/relationships/hyperlink" Target="https://internalcontrols.oc.finance.harvard.edu/financial-close-and-reporting" TargetMode="External"/><Relationship Id="rId19" Type="http://schemas.openxmlformats.org/officeDocument/2006/relationships/hyperlink" Target="https://internalcontrols.oc.finance.harvard.edu/cash-management" TargetMode="External"/><Relationship Id="rId14" Type="http://schemas.openxmlformats.org/officeDocument/2006/relationships/hyperlink" Target="mailto:financialpolicy@harvard.edu" TargetMode="External"/><Relationship Id="rId30" Type="http://schemas.openxmlformats.org/officeDocument/2006/relationships/hyperlink" Target="http://policies.fad.harvard.edu/pages/commitments-and-contingencies" TargetMode="External"/><Relationship Id="rId35" Type="http://schemas.openxmlformats.org/officeDocument/2006/relationships/hyperlink" Target="https://policies.fad.harvard.edu/non-sponsored-funded-awards-policy" TargetMode="External"/><Relationship Id="rId56" Type="http://schemas.openxmlformats.org/officeDocument/2006/relationships/hyperlink" Target="https://trainingportal.harvard.edu/Saba/Web_spf/NA1PRD0068/pages/pagedetailview/spage000000000006443" TargetMode="External"/><Relationship Id="rId77" Type="http://schemas.openxmlformats.org/officeDocument/2006/relationships/hyperlink" Target="https://trainingportal.harvard.edu/Saba/Web_spf/NA1PRD0068/pages/pagedetailview/spage000000000006441" TargetMode="External"/><Relationship Id="rId100" Type="http://schemas.openxmlformats.org/officeDocument/2006/relationships/hyperlink" Target="https://trainingportal.harvard.edu/Saba/Web_spf/NA1PRD0068/pages/pagedetailview/spage000000000006441" TargetMode="External"/><Relationship Id="rId105" Type="http://schemas.openxmlformats.org/officeDocument/2006/relationships/hyperlink" Target="https://trainingportal.harvard.edu/Saba/Web_spf/NA1PRD0068/pages/pagedetailview/spage000000000006265" TargetMode="External"/><Relationship Id="rId8" Type="http://schemas.openxmlformats.org/officeDocument/2006/relationships/webSettings" Target="webSettings.xml"/><Relationship Id="rId51" Type="http://schemas.openxmlformats.org/officeDocument/2006/relationships/hyperlink" Target="https://trainingportal.harvard.edu/Saba/Web_spf/NA1PRD0068/pages/pagedetailview/spage000000000006441" TargetMode="External"/><Relationship Id="rId72" Type="http://schemas.openxmlformats.org/officeDocument/2006/relationships/hyperlink" Target="https://trainingportal.harvard.edu/Saba/Web_spf/NA1PRD0068/pages/pagedetailview/spage000000000006443" TargetMode="External"/><Relationship Id="rId93" Type="http://schemas.openxmlformats.org/officeDocument/2006/relationships/hyperlink" Target="http://policies.fad.harvard.edu/pages/tax-compliance-external-revenue-generating-activities" TargetMode="External"/><Relationship Id="rId98" Type="http://schemas.openxmlformats.org/officeDocument/2006/relationships/hyperlink" Target="https://internalcontrols.oc.finance.harvard.edu/business-expense-reimbursement-concur" TargetMode="External"/><Relationship Id="rId3" Type="http://schemas.openxmlformats.org/officeDocument/2006/relationships/customXml" Target="../customXml/item3.xml"/><Relationship Id="rId25" Type="http://schemas.openxmlformats.org/officeDocument/2006/relationships/hyperlink" Target="https://trainingportal.harvard.edu/Saba/Web_spf/NA1PRD0068/pages/pagedetailview/spage000000000006265" TargetMode="External"/><Relationship Id="rId46" Type="http://schemas.openxmlformats.org/officeDocument/2006/relationships/hyperlink" Target="https://trainingportal.harvard.edu/Saba/Web_spf/NA1PRD0068/pages/pagelistview/pgcnt000000000116899" TargetMode="External"/><Relationship Id="rId67" Type="http://schemas.openxmlformats.org/officeDocument/2006/relationships/hyperlink" Target="https://trainingportal.harvard.edu/Saba/Web_spf/NA1PRD0068/pages/pagedetailview/spage000000000006443" TargetMode="External"/><Relationship Id="rId20" Type="http://schemas.openxmlformats.org/officeDocument/2006/relationships/hyperlink" Target="https://trainingportal.harvard.edu/Saba/Web_spf/NA1PRD0068/pages/pagedetailview/spage000000000006265" TargetMode="External"/><Relationship Id="rId41" Type="http://schemas.openxmlformats.org/officeDocument/2006/relationships/hyperlink" Target="https://internalcontrols.oc.finance.harvard.edu/debt-management" TargetMode="External"/><Relationship Id="rId62" Type="http://schemas.openxmlformats.org/officeDocument/2006/relationships/hyperlink" Target="https://trainingportal.harvard.edu/Saba/Web_spf/NA1PRD0068/pages/pagedetailview/spage000000000006443" TargetMode="External"/><Relationship Id="rId83" Type="http://schemas.openxmlformats.org/officeDocument/2006/relationships/hyperlink" Target="https://internalcontrols.oc.finance.harvard.edu/payroll" TargetMode="External"/><Relationship Id="rId88" Type="http://schemas.openxmlformats.org/officeDocument/2006/relationships/hyperlink" Target="https://trainingportal.harvard.edu/Saba/Web_spf/NA1PRD0068/pages/pagedetailview/spage000000000006443"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Microsoft_Word_97_-_2003_Document.doc"/><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24F1C1D1B19F74C917C8617E2F071DA" ma:contentTypeVersion="10" ma:contentTypeDescription="Create a new document." ma:contentTypeScope="" ma:versionID="827e0fd87db556b4ea660ebf5c623572">
  <xsd:schema xmlns:xsd="http://www.w3.org/2001/XMLSchema" xmlns:xs="http://www.w3.org/2001/XMLSchema" xmlns:p="http://schemas.microsoft.com/office/2006/metadata/properties" xmlns:ns2="303b9bec-6670-4f9c-88b5-934c2fa8abae" xmlns:ns3="fa4a6c43-a158-4316-a2c8-c156cd11b2b5" targetNamespace="http://schemas.microsoft.com/office/2006/metadata/properties" ma:root="true" ma:fieldsID="cf0926dbe1a5dfc2e87e0d7ef7a987cf" ns2:_="" ns3:_="">
    <xsd:import namespace="303b9bec-6670-4f9c-88b5-934c2fa8abae"/>
    <xsd:import namespace="fa4a6c43-a158-4316-a2c8-c156cd11b2b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3b9bec-6670-4f9c-88b5-934c2fa8a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a4a6c43-a158-4316-a2c8-c156cd11b2b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216608-FD43-4F50-9D6E-242C7F67699E}">
  <ds:schemaRefs>
    <ds:schemaRef ds:uri="http://schemas.microsoft.com/sharepoint/v3/contenttype/forms"/>
  </ds:schemaRefs>
</ds:datastoreItem>
</file>

<file path=customXml/itemProps2.xml><?xml version="1.0" encoding="utf-8"?>
<ds:datastoreItem xmlns:ds="http://schemas.openxmlformats.org/officeDocument/2006/customXml" ds:itemID="{66D9C9F3-2ADA-4B92-B220-0855031543DD}">
  <ds:schemaRefs>
    <ds:schemaRef ds:uri="http://schemas.openxmlformats.org/officeDocument/2006/bibliography"/>
  </ds:schemaRefs>
</ds:datastoreItem>
</file>

<file path=customXml/itemProps3.xml><?xml version="1.0" encoding="utf-8"?>
<ds:datastoreItem xmlns:ds="http://schemas.openxmlformats.org/officeDocument/2006/customXml" ds:itemID="{ED4A73FE-9911-4F81-99AC-DFA041B9BBA7}">
  <ds:schemaRefs>
    <ds:schemaRef ds:uri="http://schemas.openxmlformats.org/package/2006/metadata/core-properties"/>
    <ds:schemaRef ds:uri="fa4a6c43-a158-4316-a2c8-c156cd11b2b5"/>
    <ds:schemaRef ds:uri="http://schemas.microsoft.com/office/2006/metadata/properties"/>
    <ds:schemaRef ds:uri="http://purl.org/dc/elements/1.1/"/>
    <ds:schemaRef ds:uri="http://purl.org/dc/terms/"/>
    <ds:schemaRef ds:uri="http://schemas.microsoft.com/office/2006/documentManagement/types"/>
    <ds:schemaRef ds:uri="http://schemas.microsoft.com/office/infopath/2007/PartnerControls"/>
    <ds:schemaRef ds:uri="http://purl.org/dc/dcmitype/"/>
    <ds:schemaRef ds:uri="303b9bec-6670-4f9c-88b5-934c2fa8abae"/>
    <ds:schemaRef ds:uri="http://www.w3.org/XML/1998/namespace"/>
  </ds:schemaRefs>
</ds:datastoreItem>
</file>

<file path=customXml/itemProps4.xml><?xml version="1.0" encoding="utf-8"?>
<ds:datastoreItem xmlns:ds="http://schemas.openxmlformats.org/officeDocument/2006/customXml" ds:itemID="{8232BDFD-63FF-44A0-9D6B-17ABB72FF9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3b9bec-6670-4f9c-88b5-934c2fa8abae"/>
    <ds:schemaRef ds:uri="fa4a6c43-a158-4316-a2c8-c156cd11b2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3865</Words>
  <Characters>22034</Characters>
  <Application>Microsoft Office Word</Application>
  <DocSecurity>8</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HUIT</Company>
  <LinksUpToDate>false</LinksUpToDate>
  <CharactersWithSpaces>25848</CharactersWithSpaces>
  <SharedDoc>false</SharedDoc>
  <HLinks>
    <vt:vector size="576" baseType="variant">
      <vt:variant>
        <vt:i4>8323074</vt:i4>
      </vt:variant>
      <vt:variant>
        <vt:i4>285</vt:i4>
      </vt:variant>
      <vt:variant>
        <vt:i4>0</vt:i4>
      </vt:variant>
      <vt:variant>
        <vt:i4>5</vt:i4>
      </vt:variant>
      <vt:variant>
        <vt:lpwstr>https://trainingportal.harvard.edu/Saba/Web_spf/NA1PRD0068/pages/pagedetailview/spage000000000006460</vt:lpwstr>
      </vt:variant>
      <vt:variant>
        <vt:lpwstr/>
      </vt:variant>
      <vt:variant>
        <vt:i4>8126466</vt:i4>
      </vt:variant>
      <vt:variant>
        <vt:i4>282</vt:i4>
      </vt:variant>
      <vt:variant>
        <vt:i4>0</vt:i4>
      </vt:variant>
      <vt:variant>
        <vt:i4>5</vt:i4>
      </vt:variant>
      <vt:variant>
        <vt:lpwstr>https://trainingportal.harvard.edu/Saba/Web_spf/NA1PRD0068/pages/pagedetailview/spage000000000006265</vt:lpwstr>
      </vt:variant>
      <vt:variant>
        <vt:lpwstr/>
      </vt:variant>
      <vt:variant>
        <vt:i4>8257536</vt:i4>
      </vt:variant>
      <vt:variant>
        <vt:i4>279</vt:i4>
      </vt:variant>
      <vt:variant>
        <vt:i4>0</vt:i4>
      </vt:variant>
      <vt:variant>
        <vt:i4>5</vt:i4>
      </vt:variant>
      <vt:variant>
        <vt:lpwstr>https://trainingportal.harvard.edu/Saba/Web_spf/NA1PRD0068/pages/pagedetailview/spage000000000006441</vt:lpwstr>
      </vt:variant>
      <vt:variant>
        <vt:lpwstr/>
      </vt:variant>
      <vt:variant>
        <vt:i4>8126464</vt:i4>
      </vt:variant>
      <vt:variant>
        <vt:i4>276</vt:i4>
      </vt:variant>
      <vt:variant>
        <vt:i4>0</vt:i4>
      </vt:variant>
      <vt:variant>
        <vt:i4>5</vt:i4>
      </vt:variant>
      <vt:variant>
        <vt:lpwstr>https://trainingportal.harvard.edu/Saba/Web_spf/NA1PRD0068/pages/pagedetailview/spage000000000006443</vt:lpwstr>
      </vt:variant>
      <vt:variant>
        <vt:lpwstr/>
      </vt:variant>
      <vt:variant>
        <vt:i4>524370</vt:i4>
      </vt:variant>
      <vt:variant>
        <vt:i4>273</vt:i4>
      </vt:variant>
      <vt:variant>
        <vt:i4>0</vt:i4>
      </vt:variant>
      <vt:variant>
        <vt:i4>5</vt:i4>
      </vt:variant>
      <vt:variant>
        <vt:lpwstr>https://internalcontrols.oc.finance.harvard.edu/business-expense-reimbursement-concur</vt:lpwstr>
      </vt:variant>
      <vt:variant>
        <vt:lpwstr/>
      </vt:variant>
      <vt:variant>
        <vt:i4>3670115</vt:i4>
      </vt:variant>
      <vt:variant>
        <vt:i4>270</vt:i4>
      </vt:variant>
      <vt:variant>
        <vt:i4>0</vt:i4>
      </vt:variant>
      <vt:variant>
        <vt:i4>5</vt:i4>
      </vt:variant>
      <vt:variant>
        <vt:lpwstr>https://policies.fad.harvard.edu/credit-card-policy</vt:lpwstr>
      </vt:variant>
      <vt:variant>
        <vt:lpwstr/>
      </vt:variant>
      <vt:variant>
        <vt:i4>8257536</vt:i4>
      </vt:variant>
      <vt:variant>
        <vt:i4>267</vt:i4>
      </vt:variant>
      <vt:variant>
        <vt:i4>0</vt:i4>
      </vt:variant>
      <vt:variant>
        <vt:i4>5</vt:i4>
      </vt:variant>
      <vt:variant>
        <vt:lpwstr>https://trainingportal.harvard.edu/Saba/Web_spf/NA1PRD0068/pages/pagedetailview/spage000000000006441</vt:lpwstr>
      </vt:variant>
      <vt:variant>
        <vt:lpwstr/>
      </vt:variant>
      <vt:variant>
        <vt:i4>8126464</vt:i4>
      </vt:variant>
      <vt:variant>
        <vt:i4>264</vt:i4>
      </vt:variant>
      <vt:variant>
        <vt:i4>0</vt:i4>
      </vt:variant>
      <vt:variant>
        <vt:i4>5</vt:i4>
      </vt:variant>
      <vt:variant>
        <vt:lpwstr>https://trainingportal.harvard.edu/Saba/Web_spf/NA1PRD0068/pages/pagedetailview/spage000000000006443</vt:lpwstr>
      </vt:variant>
      <vt:variant>
        <vt:lpwstr/>
      </vt:variant>
      <vt:variant>
        <vt:i4>524370</vt:i4>
      </vt:variant>
      <vt:variant>
        <vt:i4>261</vt:i4>
      </vt:variant>
      <vt:variant>
        <vt:i4>0</vt:i4>
      </vt:variant>
      <vt:variant>
        <vt:i4>5</vt:i4>
      </vt:variant>
      <vt:variant>
        <vt:lpwstr>https://internalcontrols.oc.finance.harvard.edu/business-expense-reimbursement-concur</vt:lpwstr>
      </vt:variant>
      <vt:variant>
        <vt:lpwstr/>
      </vt:variant>
      <vt:variant>
        <vt:i4>2293793</vt:i4>
      </vt:variant>
      <vt:variant>
        <vt:i4>258</vt:i4>
      </vt:variant>
      <vt:variant>
        <vt:i4>0</vt:i4>
      </vt:variant>
      <vt:variant>
        <vt:i4>5</vt:i4>
      </vt:variant>
      <vt:variant>
        <vt:lpwstr>http://policies.fad.harvard.edu/pages/travel-0</vt:lpwstr>
      </vt:variant>
      <vt:variant>
        <vt:lpwstr/>
      </vt:variant>
      <vt:variant>
        <vt:i4>6553722</vt:i4>
      </vt:variant>
      <vt:variant>
        <vt:i4>255</vt:i4>
      </vt:variant>
      <vt:variant>
        <vt:i4>0</vt:i4>
      </vt:variant>
      <vt:variant>
        <vt:i4>5</vt:i4>
      </vt:variant>
      <vt:variant>
        <vt:lpwstr>https://internalcontrols.oc.finance.harvard.edu/payroll</vt:lpwstr>
      </vt:variant>
      <vt:variant>
        <vt:lpwstr/>
      </vt:variant>
      <vt:variant>
        <vt:i4>4980742</vt:i4>
      </vt:variant>
      <vt:variant>
        <vt:i4>252</vt:i4>
      </vt:variant>
      <vt:variant>
        <vt:i4>0</vt:i4>
      </vt:variant>
      <vt:variant>
        <vt:i4>5</vt:i4>
      </vt:variant>
      <vt:variant>
        <vt:lpwstr>http://policies.fad.harvard.edu/time-entry-and-approval-non-exempt-employees</vt:lpwstr>
      </vt:variant>
      <vt:variant>
        <vt:lpwstr/>
      </vt:variant>
      <vt:variant>
        <vt:i4>8126464</vt:i4>
      </vt:variant>
      <vt:variant>
        <vt:i4>249</vt:i4>
      </vt:variant>
      <vt:variant>
        <vt:i4>0</vt:i4>
      </vt:variant>
      <vt:variant>
        <vt:i4>5</vt:i4>
      </vt:variant>
      <vt:variant>
        <vt:lpwstr>https://trainingportal.harvard.edu/Saba/Web_spf/NA1PRD0068/pages/pagedetailview/spage000000000006443</vt:lpwstr>
      </vt:variant>
      <vt:variant>
        <vt:lpwstr/>
      </vt:variant>
      <vt:variant>
        <vt:i4>2097259</vt:i4>
      </vt:variant>
      <vt:variant>
        <vt:i4>246</vt:i4>
      </vt:variant>
      <vt:variant>
        <vt:i4>0</vt:i4>
      </vt:variant>
      <vt:variant>
        <vt:i4>5</vt:i4>
      </vt:variant>
      <vt:variant>
        <vt:lpwstr>http://policies.fad.harvard.edu/pages/tax-compliance-external-revenue-generating-activities</vt:lpwstr>
      </vt:variant>
      <vt:variant>
        <vt:lpwstr/>
      </vt:variant>
      <vt:variant>
        <vt:i4>8257536</vt:i4>
      </vt:variant>
      <vt:variant>
        <vt:i4>243</vt:i4>
      </vt:variant>
      <vt:variant>
        <vt:i4>0</vt:i4>
      </vt:variant>
      <vt:variant>
        <vt:i4>5</vt:i4>
      </vt:variant>
      <vt:variant>
        <vt:lpwstr>https://trainingportal.harvard.edu/Saba/Web_spf/NA1PRD0068/pages/pagedetailview/spage000000000006441</vt:lpwstr>
      </vt:variant>
      <vt:variant>
        <vt:lpwstr/>
      </vt:variant>
      <vt:variant>
        <vt:i4>7209058</vt:i4>
      </vt:variant>
      <vt:variant>
        <vt:i4>240</vt:i4>
      </vt:variant>
      <vt:variant>
        <vt:i4>0</vt:i4>
      </vt:variant>
      <vt:variant>
        <vt:i4>5</vt:i4>
      </vt:variant>
      <vt:variant>
        <vt:lpwstr>https://policies.fad.harvard.edu/staff-mobile-phone-policy</vt:lpwstr>
      </vt:variant>
      <vt:variant>
        <vt:lpwstr/>
      </vt:variant>
      <vt:variant>
        <vt:i4>8126464</vt:i4>
      </vt:variant>
      <vt:variant>
        <vt:i4>237</vt:i4>
      </vt:variant>
      <vt:variant>
        <vt:i4>0</vt:i4>
      </vt:variant>
      <vt:variant>
        <vt:i4>5</vt:i4>
      </vt:variant>
      <vt:variant>
        <vt:lpwstr>https://trainingportal.harvard.edu/Saba/Web_spf/NA1PRD0068/pages/pagedetailview/spage000000000006443</vt:lpwstr>
      </vt:variant>
      <vt:variant>
        <vt:lpwstr/>
      </vt:variant>
      <vt:variant>
        <vt:i4>1441800</vt:i4>
      </vt:variant>
      <vt:variant>
        <vt:i4>234</vt:i4>
      </vt:variant>
      <vt:variant>
        <vt:i4>0</vt:i4>
      </vt:variant>
      <vt:variant>
        <vt:i4>5</vt:i4>
      </vt:variant>
      <vt:variant>
        <vt:lpwstr>http://policies.fad.harvard.edu/short-term-operating-advances</vt:lpwstr>
      </vt:variant>
      <vt:variant>
        <vt:lpwstr/>
      </vt:variant>
      <vt:variant>
        <vt:i4>8126464</vt:i4>
      </vt:variant>
      <vt:variant>
        <vt:i4>231</vt:i4>
      </vt:variant>
      <vt:variant>
        <vt:i4>0</vt:i4>
      </vt:variant>
      <vt:variant>
        <vt:i4>5</vt:i4>
      </vt:variant>
      <vt:variant>
        <vt:lpwstr>https://trainingportal.harvard.edu/Saba/Web_spf/NA1PRD0068/pages/pagedetailview/spage000000000006443</vt:lpwstr>
      </vt:variant>
      <vt:variant>
        <vt:lpwstr/>
      </vt:variant>
      <vt:variant>
        <vt:i4>6029317</vt:i4>
      </vt:variant>
      <vt:variant>
        <vt:i4>228</vt:i4>
      </vt:variant>
      <vt:variant>
        <vt:i4>0</vt:i4>
      </vt:variant>
      <vt:variant>
        <vt:i4>5</vt:i4>
      </vt:variant>
      <vt:variant>
        <vt:lpwstr>http://policies.fad.harvard.edu/pages/revenue-recognition</vt:lpwstr>
      </vt:variant>
      <vt:variant>
        <vt:lpwstr/>
      </vt:variant>
      <vt:variant>
        <vt:i4>4587548</vt:i4>
      </vt:variant>
      <vt:variant>
        <vt:i4>225</vt:i4>
      </vt:variant>
      <vt:variant>
        <vt:i4>0</vt:i4>
      </vt:variant>
      <vt:variant>
        <vt:i4>5</vt:i4>
      </vt:variant>
      <vt:variant>
        <vt:lpwstr>http://policies.fad.harvard.edu/pages/restricted-fund-spending-compliance</vt:lpwstr>
      </vt:variant>
      <vt:variant>
        <vt:lpwstr/>
      </vt:variant>
      <vt:variant>
        <vt:i4>196713</vt:i4>
      </vt:variant>
      <vt:variant>
        <vt:i4>222</vt:i4>
      </vt:variant>
      <vt:variant>
        <vt:i4>0</vt:i4>
      </vt:variant>
      <vt:variant>
        <vt:i4>5</vt:i4>
      </vt:variant>
      <vt:variant>
        <vt:lpwstr>https://trainingportal.harvard.edu/Saba/Web_spf/NA1PRD0068/pages/pagelistview/pgcnt000000000116899</vt:lpwstr>
      </vt:variant>
      <vt:variant>
        <vt:lpwstr/>
      </vt:variant>
      <vt:variant>
        <vt:i4>524370</vt:i4>
      </vt:variant>
      <vt:variant>
        <vt:i4>219</vt:i4>
      </vt:variant>
      <vt:variant>
        <vt:i4>0</vt:i4>
      </vt:variant>
      <vt:variant>
        <vt:i4>5</vt:i4>
      </vt:variant>
      <vt:variant>
        <vt:lpwstr>https://internalcontrols.oc.finance.harvard.edu/business-expense-reimbursement-concur</vt:lpwstr>
      </vt:variant>
      <vt:variant>
        <vt:lpwstr/>
      </vt:variant>
      <vt:variant>
        <vt:i4>5505112</vt:i4>
      </vt:variant>
      <vt:variant>
        <vt:i4>216</vt:i4>
      </vt:variant>
      <vt:variant>
        <vt:i4>0</vt:i4>
      </vt:variant>
      <vt:variant>
        <vt:i4>5</vt:i4>
      </vt:variant>
      <vt:variant>
        <vt:lpwstr>https://internalcontrols.oc.finance.harvard.edu/sponsored-awards-program</vt:lpwstr>
      </vt:variant>
      <vt:variant>
        <vt:lpwstr/>
      </vt:variant>
      <vt:variant>
        <vt:i4>6553722</vt:i4>
      </vt:variant>
      <vt:variant>
        <vt:i4>213</vt:i4>
      </vt:variant>
      <vt:variant>
        <vt:i4>0</vt:i4>
      </vt:variant>
      <vt:variant>
        <vt:i4>5</vt:i4>
      </vt:variant>
      <vt:variant>
        <vt:lpwstr>https://internalcontrols.oc.finance.harvard.edu/payroll</vt:lpwstr>
      </vt:variant>
      <vt:variant>
        <vt:lpwstr/>
      </vt:variant>
      <vt:variant>
        <vt:i4>6094858</vt:i4>
      </vt:variant>
      <vt:variant>
        <vt:i4>210</vt:i4>
      </vt:variant>
      <vt:variant>
        <vt:i4>0</vt:i4>
      </vt:variant>
      <vt:variant>
        <vt:i4>5</vt:i4>
      </vt:variant>
      <vt:variant>
        <vt:lpwstr>https://internalcontrols.oc.finance.harvard.edu/financial-close-and-reporting</vt:lpwstr>
      </vt:variant>
      <vt:variant>
        <vt:lpwstr/>
      </vt:variant>
      <vt:variant>
        <vt:i4>3407971</vt:i4>
      </vt:variant>
      <vt:variant>
        <vt:i4>207</vt:i4>
      </vt:variant>
      <vt:variant>
        <vt:i4>0</vt:i4>
      </vt:variant>
      <vt:variant>
        <vt:i4>5</vt:i4>
      </vt:variant>
      <vt:variant>
        <vt:lpwstr>https://internalcontrols.oc.finance.harvard.edu/procure-pay</vt:lpwstr>
      </vt:variant>
      <vt:variant>
        <vt:lpwstr/>
      </vt:variant>
      <vt:variant>
        <vt:i4>4259871</vt:i4>
      </vt:variant>
      <vt:variant>
        <vt:i4>204</vt:i4>
      </vt:variant>
      <vt:variant>
        <vt:i4>0</vt:i4>
      </vt:variant>
      <vt:variant>
        <vt:i4>5</vt:i4>
      </vt:variant>
      <vt:variant>
        <vt:lpwstr>https://policies.fad.harvard.edu/responsibilities-purchasers-preparers-and-approvers</vt:lpwstr>
      </vt:variant>
      <vt:variant>
        <vt:lpwstr/>
      </vt:variant>
      <vt:variant>
        <vt:i4>8257646</vt:i4>
      </vt:variant>
      <vt:variant>
        <vt:i4>201</vt:i4>
      </vt:variant>
      <vt:variant>
        <vt:i4>0</vt:i4>
      </vt:variant>
      <vt:variant>
        <vt:i4>5</vt:i4>
      </vt:variant>
      <vt:variant>
        <vt:lpwstr>http://policies.fad.harvard.edu/pages/reserves-bad-debt</vt:lpwstr>
      </vt:variant>
      <vt:variant>
        <vt:lpwstr/>
      </vt:variant>
      <vt:variant>
        <vt:i4>8126466</vt:i4>
      </vt:variant>
      <vt:variant>
        <vt:i4>198</vt:i4>
      </vt:variant>
      <vt:variant>
        <vt:i4>0</vt:i4>
      </vt:variant>
      <vt:variant>
        <vt:i4>5</vt:i4>
      </vt:variant>
      <vt:variant>
        <vt:lpwstr>https://trainingportal.harvard.edu/Saba/Web_spf/NA1PRD0068/pages/pagedetailview/spage000000000006265</vt:lpwstr>
      </vt:variant>
      <vt:variant>
        <vt:lpwstr/>
      </vt:variant>
      <vt:variant>
        <vt:i4>8257536</vt:i4>
      </vt:variant>
      <vt:variant>
        <vt:i4>195</vt:i4>
      </vt:variant>
      <vt:variant>
        <vt:i4>0</vt:i4>
      </vt:variant>
      <vt:variant>
        <vt:i4>5</vt:i4>
      </vt:variant>
      <vt:variant>
        <vt:lpwstr>https://trainingportal.harvard.edu/Saba/Web_spf/NA1PRD0068/pages/pagedetailview/spage000000000006441</vt:lpwstr>
      </vt:variant>
      <vt:variant>
        <vt:lpwstr/>
      </vt:variant>
      <vt:variant>
        <vt:i4>5111812</vt:i4>
      </vt:variant>
      <vt:variant>
        <vt:i4>192</vt:i4>
      </vt:variant>
      <vt:variant>
        <vt:i4>0</vt:i4>
      </vt:variant>
      <vt:variant>
        <vt:i4>5</vt:i4>
      </vt:variant>
      <vt:variant>
        <vt:lpwstr>https://internal.procurement.finance.harvard.edu/concur-pcard</vt:lpwstr>
      </vt:variant>
      <vt:variant>
        <vt:lpwstr/>
      </vt:variant>
      <vt:variant>
        <vt:i4>3670115</vt:i4>
      </vt:variant>
      <vt:variant>
        <vt:i4>189</vt:i4>
      </vt:variant>
      <vt:variant>
        <vt:i4>0</vt:i4>
      </vt:variant>
      <vt:variant>
        <vt:i4>5</vt:i4>
      </vt:variant>
      <vt:variant>
        <vt:lpwstr>https://policies.fad.harvard.edu/credit-card-policy</vt:lpwstr>
      </vt:variant>
      <vt:variant>
        <vt:lpwstr/>
      </vt:variant>
      <vt:variant>
        <vt:i4>3866744</vt:i4>
      </vt:variant>
      <vt:variant>
        <vt:i4>186</vt:i4>
      </vt:variant>
      <vt:variant>
        <vt:i4>0</vt:i4>
      </vt:variant>
      <vt:variant>
        <vt:i4>5</vt:i4>
      </vt:variant>
      <vt:variant>
        <vt:lpwstr>https://policies.fad.harvard.edu/pages/purchasing-card</vt:lpwstr>
      </vt:variant>
      <vt:variant>
        <vt:lpwstr/>
      </vt:variant>
      <vt:variant>
        <vt:i4>8257536</vt:i4>
      </vt:variant>
      <vt:variant>
        <vt:i4>183</vt:i4>
      </vt:variant>
      <vt:variant>
        <vt:i4>0</vt:i4>
      </vt:variant>
      <vt:variant>
        <vt:i4>5</vt:i4>
      </vt:variant>
      <vt:variant>
        <vt:lpwstr>https://trainingportal.harvard.edu/Saba/Web_spf/NA1PRD0068/pages/pagedetailview/spage000000000006441</vt:lpwstr>
      </vt:variant>
      <vt:variant>
        <vt:lpwstr/>
      </vt:variant>
      <vt:variant>
        <vt:i4>8126464</vt:i4>
      </vt:variant>
      <vt:variant>
        <vt:i4>180</vt:i4>
      </vt:variant>
      <vt:variant>
        <vt:i4>0</vt:i4>
      </vt:variant>
      <vt:variant>
        <vt:i4>5</vt:i4>
      </vt:variant>
      <vt:variant>
        <vt:lpwstr>https://trainingportal.harvard.edu/Saba/Web_spf/NA1PRD0068/pages/pagedetailview/spage000000000006443</vt:lpwstr>
      </vt:variant>
      <vt:variant>
        <vt:lpwstr/>
      </vt:variant>
      <vt:variant>
        <vt:i4>3407971</vt:i4>
      </vt:variant>
      <vt:variant>
        <vt:i4>177</vt:i4>
      </vt:variant>
      <vt:variant>
        <vt:i4>0</vt:i4>
      </vt:variant>
      <vt:variant>
        <vt:i4>5</vt:i4>
      </vt:variant>
      <vt:variant>
        <vt:lpwstr>https://internalcontrols.oc.finance.harvard.edu/procure-pay</vt:lpwstr>
      </vt:variant>
      <vt:variant>
        <vt:lpwstr/>
      </vt:variant>
      <vt:variant>
        <vt:i4>1966171</vt:i4>
      </vt:variant>
      <vt:variant>
        <vt:i4>174</vt:i4>
      </vt:variant>
      <vt:variant>
        <vt:i4>0</vt:i4>
      </vt:variant>
      <vt:variant>
        <vt:i4>5</vt:i4>
      </vt:variant>
      <vt:variant>
        <vt:lpwstr>https://policies.fad.harvard.edu/procurement</vt:lpwstr>
      </vt:variant>
      <vt:variant>
        <vt:lpwstr/>
      </vt:variant>
      <vt:variant>
        <vt:i4>8126464</vt:i4>
      </vt:variant>
      <vt:variant>
        <vt:i4>171</vt:i4>
      </vt:variant>
      <vt:variant>
        <vt:i4>0</vt:i4>
      </vt:variant>
      <vt:variant>
        <vt:i4>5</vt:i4>
      </vt:variant>
      <vt:variant>
        <vt:lpwstr>https://trainingportal.harvard.edu/Saba/Web_spf/NA1PRD0068/pages/pagedetailview/spage000000000006443</vt:lpwstr>
      </vt:variant>
      <vt:variant>
        <vt:lpwstr/>
      </vt:variant>
      <vt:variant>
        <vt:i4>5111825</vt:i4>
      </vt:variant>
      <vt:variant>
        <vt:i4>168</vt:i4>
      </vt:variant>
      <vt:variant>
        <vt:i4>0</vt:i4>
      </vt:variant>
      <vt:variant>
        <vt:i4>5</vt:i4>
      </vt:variant>
      <vt:variant>
        <vt:lpwstr>http://policies.fad.harvard.edu/pages/petty-cash</vt:lpwstr>
      </vt:variant>
      <vt:variant>
        <vt:lpwstr/>
      </vt:variant>
      <vt:variant>
        <vt:i4>8126464</vt:i4>
      </vt:variant>
      <vt:variant>
        <vt:i4>165</vt:i4>
      </vt:variant>
      <vt:variant>
        <vt:i4>0</vt:i4>
      </vt:variant>
      <vt:variant>
        <vt:i4>5</vt:i4>
      </vt:variant>
      <vt:variant>
        <vt:lpwstr>https://trainingportal.harvard.edu/Saba/Web_spf/NA1PRD0068/pages/pagedetailview/spage000000000006443</vt:lpwstr>
      </vt:variant>
      <vt:variant>
        <vt:lpwstr/>
      </vt:variant>
      <vt:variant>
        <vt:i4>5505102</vt:i4>
      </vt:variant>
      <vt:variant>
        <vt:i4>162</vt:i4>
      </vt:variant>
      <vt:variant>
        <vt:i4>0</vt:i4>
      </vt:variant>
      <vt:variant>
        <vt:i4>5</vt:i4>
      </vt:variant>
      <vt:variant>
        <vt:lpwstr>http://policies.fad.harvard.edu/accounting-leases</vt:lpwstr>
      </vt:variant>
      <vt:variant>
        <vt:lpwstr/>
      </vt:variant>
      <vt:variant>
        <vt:i4>6094858</vt:i4>
      </vt:variant>
      <vt:variant>
        <vt:i4>159</vt:i4>
      </vt:variant>
      <vt:variant>
        <vt:i4>0</vt:i4>
      </vt:variant>
      <vt:variant>
        <vt:i4>5</vt:i4>
      </vt:variant>
      <vt:variant>
        <vt:lpwstr>https://internalcontrols.oc.finance.harvard.edu/financial-close-and-reporting</vt:lpwstr>
      </vt:variant>
      <vt:variant>
        <vt:lpwstr/>
      </vt:variant>
      <vt:variant>
        <vt:i4>131159</vt:i4>
      </vt:variant>
      <vt:variant>
        <vt:i4>156</vt:i4>
      </vt:variant>
      <vt:variant>
        <vt:i4>0</vt:i4>
      </vt:variant>
      <vt:variant>
        <vt:i4>5</vt:i4>
      </vt:variant>
      <vt:variant>
        <vt:lpwstr>http://policies.fad.harvard.edu/pages/internal-transfers</vt:lpwstr>
      </vt:variant>
      <vt:variant>
        <vt:lpwstr/>
      </vt:variant>
      <vt:variant>
        <vt:i4>8257536</vt:i4>
      </vt:variant>
      <vt:variant>
        <vt:i4>153</vt:i4>
      </vt:variant>
      <vt:variant>
        <vt:i4>0</vt:i4>
      </vt:variant>
      <vt:variant>
        <vt:i4>5</vt:i4>
      </vt:variant>
      <vt:variant>
        <vt:lpwstr>https://trainingportal.harvard.edu/Saba/Web_spf/NA1PRD0068/pages/pagedetailview/spage000000000006441</vt:lpwstr>
      </vt:variant>
      <vt:variant>
        <vt:lpwstr/>
      </vt:variant>
      <vt:variant>
        <vt:i4>8126464</vt:i4>
      </vt:variant>
      <vt:variant>
        <vt:i4>150</vt:i4>
      </vt:variant>
      <vt:variant>
        <vt:i4>0</vt:i4>
      </vt:variant>
      <vt:variant>
        <vt:i4>5</vt:i4>
      </vt:variant>
      <vt:variant>
        <vt:lpwstr>https://trainingportal.harvard.edu/Saba/Web_spf/NA1PRD0068/pages/pagedetailview/spage000000000006443</vt:lpwstr>
      </vt:variant>
      <vt:variant>
        <vt:lpwstr/>
      </vt:variant>
      <vt:variant>
        <vt:i4>6094858</vt:i4>
      </vt:variant>
      <vt:variant>
        <vt:i4>147</vt:i4>
      </vt:variant>
      <vt:variant>
        <vt:i4>0</vt:i4>
      </vt:variant>
      <vt:variant>
        <vt:i4>5</vt:i4>
      </vt:variant>
      <vt:variant>
        <vt:lpwstr>https://internalcontrols.oc.finance.harvard.edu/financial-close-and-reporting</vt:lpwstr>
      </vt:variant>
      <vt:variant>
        <vt:lpwstr/>
      </vt:variant>
      <vt:variant>
        <vt:i4>7340159</vt:i4>
      </vt:variant>
      <vt:variant>
        <vt:i4>144</vt:i4>
      </vt:variant>
      <vt:variant>
        <vt:i4>0</vt:i4>
      </vt:variant>
      <vt:variant>
        <vt:i4>5</vt:i4>
      </vt:variant>
      <vt:variant>
        <vt:lpwstr>http://policies.fad.harvard.edu/pages/internal-billing-transactions</vt:lpwstr>
      </vt:variant>
      <vt:variant>
        <vt:lpwstr/>
      </vt:variant>
      <vt:variant>
        <vt:i4>8126464</vt:i4>
      </vt:variant>
      <vt:variant>
        <vt:i4>141</vt:i4>
      </vt:variant>
      <vt:variant>
        <vt:i4>0</vt:i4>
      </vt:variant>
      <vt:variant>
        <vt:i4>5</vt:i4>
      </vt:variant>
      <vt:variant>
        <vt:lpwstr>https://trainingportal.harvard.edu/Saba/Web_spf/NA1PRD0068/pages/pagedetailview/spage000000000006443</vt:lpwstr>
      </vt:variant>
      <vt:variant>
        <vt:lpwstr/>
      </vt:variant>
      <vt:variant>
        <vt:i4>5111821</vt:i4>
      </vt:variant>
      <vt:variant>
        <vt:i4>138</vt:i4>
      </vt:variant>
      <vt:variant>
        <vt:i4>0</vt:i4>
      </vt:variant>
      <vt:variant>
        <vt:i4>5</vt:i4>
      </vt:variant>
      <vt:variant>
        <vt:lpwstr>http://policies.fad.harvard.edu/pages/independent-contractors</vt:lpwstr>
      </vt:variant>
      <vt:variant>
        <vt:lpwstr/>
      </vt:variant>
      <vt:variant>
        <vt:i4>8257536</vt:i4>
      </vt:variant>
      <vt:variant>
        <vt:i4>135</vt:i4>
      </vt:variant>
      <vt:variant>
        <vt:i4>0</vt:i4>
      </vt:variant>
      <vt:variant>
        <vt:i4>5</vt:i4>
      </vt:variant>
      <vt:variant>
        <vt:lpwstr>https://trainingportal.harvard.edu/Saba/Web_spf/NA1PRD0068/pages/pagedetailview/spage000000000006441</vt:lpwstr>
      </vt:variant>
      <vt:variant>
        <vt:lpwstr/>
      </vt:variant>
      <vt:variant>
        <vt:i4>8126464</vt:i4>
      </vt:variant>
      <vt:variant>
        <vt:i4>132</vt:i4>
      </vt:variant>
      <vt:variant>
        <vt:i4>0</vt:i4>
      </vt:variant>
      <vt:variant>
        <vt:i4>5</vt:i4>
      </vt:variant>
      <vt:variant>
        <vt:lpwstr>https://trainingportal.harvard.edu/Saba/Web_spf/NA1PRD0068/pages/pagedetailview/spage000000000006443</vt:lpwstr>
      </vt:variant>
      <vt:variant>
        <vt:lpwstr/>
      </vt:variant>
      <vt:variant>
        <vt:i4>131087</vt:i4>
      </vt:variant>
      <vt:variant>
        <vt:i4>129</vt:i4>
      </vt:variant>
      <vt:variant>
        <vt:i4>0</vt:i4>
      </vt:variant>
      <vt:variant>
        <vt:i4>5</vt:i4>
      </vt:variant>
      <vt:variant>
        <vt:lpwstr>http://policies.fad.harvard.edu/pages/human-subject-payments</vt:lpwstr>
      </vt:variant>
      <vt:variant>
        <vt:lpwstr/>
      </vt:variant>
      <vt:variant>
        <vt:i4>8257536</vt:i4>
      </vt:variant>
      <vt:variant>
        <vt:i4>126</vt:i4>
      </vt:variant>
      <vt:variant>
        <vt:i4>0</vt:i4>
      </vt:variant>
      <vt:variant>
        <vt:i4>5</vt:i4>
      </vt:variant>
      <vt:variant>
        <vt:lpwstr>https://trainingportal.harvard.edu/Saba/Web_spf/NA1PRD0068/pages/pagedetailview/spage000000000006441</vt:lpwstr>
      </vt:variant>
      <vt:variant>
        <vt:lpwstr/>
      </vt:variant>
      <vt:variant>
        <vt:i4>8126464</vt:i4>
      </vt:variant>
      <vt:variant>
        <vt:i4>123</vt:i4>
      </vt:variant>
      <vt:variant>
        <vt:i4>0</vt:i4>
      </vt:variant>
      <vt:variant>
        <vt:i4>5</vt:i4>
      </vt:variant>
      <vt:variant>
        <vt:lpwstr>https://trainingportal.harvard.edu/Saba/Web_spf/NA1PRD0068/pages/pagedetailview/spage000000000006443</vt:lpwstr>
      </vt:variant>
      <vt:variant>
        <vt:lpwstr/>
      </vt:variant>
      <vt:variant>
        <vt:i4>1310748</vt:i4>
      </vt:variant>
      <vt:variant>
        <vt:i4>120</vt:i4>
      </vt:variant>
      <vt:variant>
        <vt:i4>0</vt:i4>
      </vt:variant>
      <vt:variant>
        <vt:i4>5</vt:i4>
      </vt:variant>
      <vt:variant>
        <vt:lpwstr>http://policies.fad.harvard.edu/pages/honoraria-foreign-nationals</vt:lpwstr>
      </vt:variant>
      <vt:variant>
        <vt:lpwstr/>
      </vt:variant>
      <vt:variant>
        <vt:i4>8257536</vt:i4>
      </vt:variant>
      <vt:variant>
        <vt:i4>117</vt:i4>
      </vt:variant>
      <vt:variant>
        <vt:i4>0</vt:i4>
      </vt:variant>
      <vt:variant>
        <vt:i4>5</vt:i4>
      </vt:variant>
      <vt:variant>
        <vt:lpwstr>https://trainingportal.harvard.edu/Saba/Web_spf/NA1PRD0068/pages/pagedetailview/spage000000000006441</vt:lpwstr>
      </vt:variant>
      <vt:variant>
        <vt:lpwstr/>
      </vt:variant>
      <vt:variant>
        <vt:i4>8126464</vt:i4>
      </vt:variant>
      <vt:variant>
        <vt:i4>114</vt:i4>
      </vt:variant>
      <vt:variant>
        <vt:i4>0</vt:i4>
      </vt:variant>
      <vt:variant>
        <vt:i4>5</vt:i4>
      </vt:variant>
      <vt:variant>
        <vt:lpwstr>https://trainingportal.harvard.edu/Saba/Web_spf/NA1PRD0068/pages/pagedetailview/spage000000000006443</vt:lpwstr>
      </vt:variant>
      <vt:variant>
        <vt:lpwstr/>
      </vt:variant>
      <vt:variant>
        <vt:i4>8323196</vt:i4>
      </vt:variant>
      <vt:variant>
        <vt:i4>111</vt:i4>
      </vt:variant>
      <vt:variant>
        <vt:i4>0</vt:i4>
      </vt:variant>
      <vt:variant>
        <vt:i4>5</vt:i4>
      </vt:variant>
      <vt:variant>
        <vt:lpwstr>http://policies.fad.harvard.edu/pages/employee-gifts-and-celebratory-events</vt:lpwstr>
      </vt:variant>
      <vt:variant>
        <vt:lpwstr/>
      </vt:variant>
      <vt:variant>
        <vt:i4>196713</vt:i4>
      </vt:variant>
      <vt:variant>
        <vt:i4>108</vt:i4>
      </vt:variant>
      <vt:variant>
        <vt:i4>0</vt:i4>
      </vt:variant>
      <vt:variant>
        <vt:i4>5</vt:i4>
      </vt:variant>
      <vt:variant>
        <vt:lpwstr>https://trainingportal.harvard.edu/Saba/Web_spf/NA1PRD0068/pages/pagelistview/pgcnt000000000116899</vt:lpwstr>
      </vt:variant>
      <vt:variant>
        <vt:lpwstr/>
      </vt:variant>
      <vt:variant>
        <vt:i4>8126587</vt:i4>
      </vt:variant>
      <vt:variant>
        <vt:i4>105</vt:i4>
      </vt:variant>
      <vt:variant>
        <vt:i4>0</vt:i4>
      </vt:variant>
      <vt:variant>
        <vt:i4>5</vt:i4>
      </vt:variant>
      <vt:variant>
        <vt:lpwstr>http://policies.fad.harvard.edu/pages/fraud</vt:lpwstr>
      </vt:variant>
      <vt:variant>
        <vt:lpwstr/>
      </vt:variant>
      <vt:variant>
        <vt:i4>196713</vt:i4>
      </vt:variant>
      <vt:variant>
        <vt:i4>102</vt:i4>
      </vt:variant>
      <vt:variant>
        <vt:i4>0</vt:i4>
      </vt:variant>
      <vt:variant>
        <vt:i4>5</vt:i4>
      </vt:variant>
      <vt:variant>
        <vt:lpwstr>https://trainingportal.harvard.edu/Saba/Web_spf/NA1PRD0068/pages/pagelistview/pgcnt000000000116899</vt:lpwstr>
      </vt:variant>
      <vt:variant>
        <vt:lpwstr/>
      </vt:variant>
      <vt:variant>
        <vt:i4>6553720</vt:i4>
      </vt:variant>
      <vt:variant>
        <vt:i4>99</vt:i4>
      </vt:variant>
      <vt:variant>
        <vt:i4>0</vt:i4>
      </vt:variant>
      <vt:variant>
        <vt:i4>5</vt:i4>
      </vt:variant>
      <vt:variant>
        <vt:lpwstr>http://policies.fad.harvard.edu/pages/financial-systems-access</vt:lpwstr>
      </vt:variant>
      <vt:variant>
        <vt:lpwstr/>
      </vt:variant>
      <vt:variant>
        <vt:i4>8257538</vt:i4>
      </vt:variant>
      <vt:variant>
        <vt:i4>96</vt:i4>
      </vt:variant>
      <vt:variant>
        <vt:i4>0</vt:i4>
      </vt:variant>
      <vt:variant>
        <vt:i4>5</vt:i4>
      </vt:variant>
      <vt:variant>
        <vt:lpwstr>https://trainingportal.harvard.edu/Saba/Web_spf/NA1PRD0068/pages/pagedetailview/spage000000000006267</vt:lpwstr>
      </vt:variant>
      <vt:variant>
        <vt:lpwstr/>
      </vt:variant>
      <vt:variant>
        <vt:i4>8126464</vt:i4>
      </vt:variant>
      <vt:variant>
        <vt:i4>93</vt:i4>
      </vt:variant>
      <vt:variant>
        <vt:i4>0</vt:i4>
      </vt:variant>
      <vt:variant>
        <vt:i4>5</vt:i4>
      </vt:variant>
      <vt:variant>
        <vt:lpwstr>https://trainingportal.harvard.edu/Saba/Web_spf/NA1PRD0068/pages/pagedetailview/spage000000000006443</vt:lpwstr>
      </vt:variant>
      <vt:variant>
        <vt:lpwstr/>
      </vt:variant>
      <vt:variant>
        <vt:i4>524360</vt:i4>
      </vt:variant>
      <vt:variant>
        <vt:i4>90</vt:i4>
      </vt:variant>
      <vt:variant>
        <vt:i4>0</vt:i4>
      </vt:variant>
      <vt:variant>
        <vt:i4>5</vt:i4>
      </vt:variant>
      <vt:variant>
        <vt:lpwstr>https://internalcontrols.oc.finance.harvard.edu/sites/g/files/omnuum11766/files/internalcontrols/files/property_plant_equipment_controls_072024.pdf</vt:lpwstr>
      </vt:variant>
      <vt:variant>
        <vt:lpwstr/>
      </vt:variant>
      <vt:variant>
        <vt:i4>7143479</vt:i4>
      </vt:variant>
      <vt:variant>
        <vt:i4>87</vt:i4>
      </vt:variant>
      <vt:variant>
        <vt:i4>0</vt:i4>
      </vt:variant>
      <vt:variant>
        <vt:i4>5</vt:i4>
      </vt:variant>
      <vt:variant>
        <vt:lpwstr>https://internalcontrols.oc.finance.harvard.edu/debt-management</vt:lpwstr>
      </vt:variant>
      <vt:variant>
        <vt:lpwstr/>
      </vt:variant>
      <vt:variant>
        <vt:i4>7602289</vt:i4>
      </vt:variant>
      <vt:variant>
        <vt:i4>84</vt:i4>
      </vt:variant>
      <vt:variant>
        <vt:i4>0</vt:i4>
      </vt:variant>
      <vt:variant>
        <vt:i4>5</vt:i4>
      </vt:variant>
      <vt:variant>
        <vt:lpwstr>http://policies.fad.harvard.edu/pages/facilities-and-equipment</vt:lpwstr>
      </vt:variant>
      <vt:variant>
        <vt:lpwstr/>
      </vt:variant>
      <vt:variant>
        <vt:i4>8257536</vt:i4>
      </vt:variant>
      <vt:variant>
        <vt:i4>81</vt:i4>
      </vt:variant>
      <vt:variant>
        <vt:i4>0</vt:i4>
      </vt:variant>
      <vt:variant>
        <vt:i4>5</vt:i4>
      </vt:variant>
      <vt:variant>
        <vt:lpwstr>https://trainingportal.harvard.edu/Saba/Web_spf/NA1PRD0068/pages/pagedetailview/spage000000000006441</vt:lpwstr>
      </vt:variant>
      <vt:variant>
        <vt:lpwstr/>
      </vt:variant>
      <vt:variant>
        <vt:i4>8126464</vt:i4>
      </vt:variant>
      <vt:variant>
        <vt:i4>78</vt:i4>
      </vt:variant>
      <vt:variant>
        <vt:i4>0</vt:i4>
      </vt:variant>
      <vt:variant>
        <vt:i4>5</vt:i4>
      </vt:variant>
      <vt:variant>
        <vt:lpwstr>https://trainingportal.harvard.edu/Saba/Web_spf/NA1PRD0068/pages/pagedetailview/spage000000000006443</vt:lpwstr>
      </vt:variant>
      <vt:variant>
        <vt:lpwstr/>
      </vt:variant>
      <vt:variant>
        <vt:i4>196620</vt:i4>
      </vt:variant>
      <vt:variant>
        <vt:i4>75</vt:i4>
      </vt:variant>
      <vt:variant>
        <vt:i4>0</vt:i4>
      </vt:variant>
      <vt:variant>
        <vt:i4>5</vt:i4>
      </vt:variant>
      <vt:variant>
        <vt:lpwstr>http://policies.fad.harvard.edu/files/fad_policies/files/fellowships_toolkit_2.5.15_0.pdf</vt:lpwstr>
      </vt:variant>
      <vt:variant>
        <vt:lpwstr/>
      </vt:variant>
      <vt:variant>
        <vt:i4>1507394</vt:i4>
      </vt:variant>
      <vt:variant>
        <vt:i4>72</vt:i4>
      </vt:variant>
      <vt:variant>
        <vt:i4>0</vt:i4>
      </vt:variant>
      <vt:variant>
        <vt:i4>5</vt:i4>
      </vt:variant>
      <vt:variant>
        <vt:lpwstr>http://policies.fad.harvard.edu/fellowships-vs-reimbursements</vt:lpwstr>
      </vt:variant>
      <vt:variant>
        <vt:lpwstr/>
      </vt:variant>
      <vt:variant>
        <vt:i4>7929973</vt:i4>
      </vt:variant>
      <vt:variant>
        <vt:i4>69</vt:i4>
      </vt:variant>
      <vt:variant>
        <vt:i4>0</vt:i4>
      </vt:variant>
      <vt:variant>
        <vt:i4>5</vt:i4>
      </vt:variant>
      <vt:variant>
        <vt:lpwstr>https://harvie.harvard.edu/out-state-employment</vt:lpwstr>
      </vt:variant>
      <vt:variant>
        <vt:lpwstr/>
      </vt:variant>
      <vt:variant>
        <vt:i4>8257536</vt:i4>
      </vt:variant>
      <vt:variant>
        <vt:i4>66</vt:i4>
      </vt:variant>
      <vt:variant>
        <vt:i4>0</vt:i4>
      </vt:variant>
      <vt:variant>
        <vt:i4>5</vt:i4>
      </vt:variant>
      <vt:variant>
        <vt:lpwstr>https://trainingportal.harvard.edu/Saba/Web_spf/NA1PRD0068/pages/pagedetailview/spage000000000006441</vt:lpwstr>
      </vt:variant>
      <vt:variant>
        <vt:lpwstr/>
      </vt:variant>
      <vt:variant>
        <vt:i4>8126464</vt:i4>
      </vt:variant>
      <vt:variant>
        <vt:i4>63</vt:i4>
      </vt:variant>
      <vt:variant>
        <vt:i4>0</vt:i4>
      </vt:variant>
      <vt:variant>
        <vt:i4>5</vt:i4>
      </vt:variant>
      <vt:variant>
        <vt:lpwstr>https://trainingportal.harvard.edu/Saba/Web_spf/NA1PRD0068/pages/pagedetailview/spage000000000006443</vt:lpwstr>
      </vt:variant>
      <vt:variant>
        <vt:lpwstr/>
      </vt:variant>
      <vt:variant>
        <vt:i4>4653076</vt:i4>
      </vt:variant>
      <vt:variant>
        <vt:i4>60</vt:i4>
      </vt:variant>
      <vt:variant>
        <vt:i4>0</vt:i4>
      </vt:variant>
      <vt:variant>
        <vt:i4>5</vt:i4>
      </vt:variant>
      <vt:variant>
        <vt:lpwstr>http://policies.fad.harvard.edu/pages/expense-recognition</vt:lpwstr>
      </vt:variant>
      <vt:variant>
        <vt:lpwstr/>
      </vt:variant>
      <vt:variant>
        <vt:i4>6553706</vt:i4>
      </vt:variant>
      <vt:variant>
        <vt:i4>57</vt:i4>
      </vt:variant>
      <vt:variant>
        <vt:i4>0</vt:i4>
      </vt:variant>
      <vt:variant>
        <vt:i4>5</vt:i4>
      </vt:variant>
      <vt:variant>
        <vt:lpwstr>http://policies.fad.harvard.edu/pages/commitments-and-contingencies</vt:lpwstr>
      </vt:variant>
      <vt:variant>
        <vt:lpwstr/>
      </vt:variant>
      <vt:variant>
        <vt:i4>8257536</vt:i4>
      </vt:variant>
      <vt:variant>
        <vt:i4>54</vt:i4>
      </vt:variant>
      <vt:variant>
        <vt:i4>0</vt:i4>
      </vt:variant>
      <vt:variant>
        <vt:i4>5</vt:i4>
      </vt:variant>
      <vt:variant>
        <vt:lpwstr>https://trainingportal.harvard.edu/Saba/Web_spf/NA1PRD0068/pages/pagedetailview/spage000000000006441</vt:lpwstr>
      </vt:variant>
      <vt:variant>
        <vt:lpwstr/>
      </vt:variant>
      <vt:variant>
        <vt:i4>8126464</vt:i4>
      </vt:variant>
      <vt:variant>
        <vt:i4>51</vt:i4>
      </vt:variant>
      <vt:variant>
        <vt:i4>0</vt:i4>
      </vt:variant>
      <vt:variant>
        <vt:i4>5</vt:i4>
      </vt:variant>
      <vt:variant>
        <vt:lpwstr>https://trainingportal.harvard.edu/Saba/Web_spf/NA1PRD0068/pages/pagedetailview/spage000000000006443</vt:lpwstr>
      </vt:variant>
      <vt:variant>
        <vt:lpwstr/>
      </vt:variant>
      <vt:variant>
        <vt:i4>1835009</vt:i4>
      </vt:variant>
      <vt:variant>
        <vt:i4>48</vt:i4>
      </vt:variant>
      <vt:variant>
        <vt:i4>0</vt:i4>
      </vt:variant>
      <vt:variant>
        <vt:i4>5</vt:i4>
      </vt:variant>
      <vt:variant>
        <vt:lpwstr>https://policies.fad.harvard.edu/classification-employee-fellow-vs-nonemployee-fellow</vt:lpwstr>
      </vt:variant>
      <vt:variant>
        <vt:lpwstr/>
      </vt:variant>
      <vt:variant>
        <vt:i4>8323074</vt:i4>
      </vt:variant>
      <vt:variant>
        <vt:i4>45</vt:i4>
      </vt:variant>
      <vt:variant>
        <vt:i4>0</vt:i4>
      </vt:variant>
      <vt:variant>
        <vt:i4>5</vt:i4>
      </vt:variant>
      <vt:variant>
        <vt:lpwstr>https://trainingportal.harvard.edu/Saba/Web_spf/NA1PRD0068/pages/pagedetailview/spage000000000006460</vt:lpwstr>
      </vt:variant>
      <vt:variant>
        <vt:lpwstr/>
      </vt:variant>
      <vt:variant>
        <vt:i4>8126466</vt:i4>
      </vt:variant>
      <vt:variant>
        <vt:i4>42</vt:i4>
      </vt:variant>
      <vt:variant>
        <vt:i4>0</vt:i4>
      </vt:variant>
      <vt:variant>
        <vt:i4>5</vt:i4>
      </vt:variant>
      <vt:variant>
        <vt:lpwstr>https://trainingportal.harvard.edu/Saba/Web_spf/NA1PRD0068/pages/pagedetailview/spage000000000006265</vt:lpwstr>
      </vt:variant>
      <vt:variant>
        <vt:lpwstr/>
      </vt:variant>
      <vt:variant>
        <vt:i4>8257536</vt:i4>
      </vt:variant>
      <vt:variant>
        <vt:i4>39</vt:i4>
      </vt:variant>
      <vt:variant>
        <vt:i4>0</vt:i4>
      </vt:variant>
      <vt:variant>
        <vt:i4>5</vt:i4>
      </vt:variant>
      <vt:variant>
        <vt:lpwstr>https://trainingportal.harvard.edu/Saba/Web_spf/NA1PRD0068/pages/pagedetailview/spage000000000006441</vt:lpwstr>
      </vt:variant>
      <vt:variant>
        <vt:lpwstr/>
      </vt:variant>
      <vt:variant>
        <vt:i4>8126464</vt:i4>
      </vt:variant>
      <vt:variant>
        <vt:i4>36</vt:i4>
      </vt:variant>
      <vt:variant>
        <vt:i4>0</vt:i4>
      </vt:variant>
      <vt:variant>
        <vt:i4>5</vt:i4>
      </vt:variant>
      <vt:variant>
        <vt:lpwstr>https://trainingportal.harvard.edu/Saba/Web_spf/NA1PRD0068/pages/pagedetailview/spage000000000006443</vt:lpwstr>
      </vt:variant>
      <vt:variant>
        <vt:lpwstr/>
      </vt:variant>
      <vt:variant>
        <vt:i4>524370</vt:i4>
      </vt:variant>
      <vt:variant>
        <vt:i4>33</vt:i4>
      </vt:variant>
      <vt:variant>
        <vt:i4>0</vt:i4>
      </vt:variant>
      <vt:variant>
        <vt:i4>5</vt:i4>
      </vt:variant>
      <vt:variant>
        <vt:lpwstr>https://internalcontrols.oc.finance.harvard.edu/business-expense-reimbursement-concur</vt:lpwstr>
      </vt:variant>
      <vt:variant>
        <vt:lpwstr/>
      </vt:variant>
      <vt:variant>
        <vt:i4>1048595</vt:i4>
      </vt:variant>
      <vt:variant>
        <vt:i4>30</vt:i4>
      </vt:variant>
      <vt:variant>
        <vt:i4>0</vt:i4>
      </vt:variant>
      <vt:variant>
        <vt:i4>5</vt:i4>
      </vt:variant>
      <vt:variant>
        <vt:lpwstr>http://policies.fad.harvard.edu/pages/business_expense_reimbursements</vt:lpwstr>
      </vt:variant>
      <vt:variant>
        <vt:lpwstr/>
      </vt:variant>
      <vt:variant>
        <vt:i4>8126466</vt:i4>
      </vt:variant>
      <vt:variant>
        <vt:i4>27</vt:i4>
      </vt:variant>
      <vt:variant>
        <vt:i4>0</vt:i4>
      </vt:variant>
      <vt:variant>
        <vt:i4>5</vt:i4>
      </vt:variant>
      <vt:variant>
        <vt:lpwstr>https://trainingportal.harvard.edu/Saba/Web_spf/NA1PRD0068/pages/pagedetailview/spage000000000006265</vt:lpwstr>
      </vt:variant>
      <vt:variant>
        <vt:lpwstr/>
      </vt:variant>
      <vt:variant>
        <vt:i4>7667745</vt:i4>
      </vt:variant>
      <vt:variant>
        <vt:i4>24</vt:i4>
      </vt:variant>
      <vt:variant>
        <vt:i4>0</vt:i4>
      </vt:variant>
      <vt:variant>
        <vt:i4>5</vt:i4>
      </vt:variant>
      <vt:variant>
        <vt:lpwstr>https://internalcontrols.oc.finance.harvard.edu/cash-management</vt:lpwstr>
      </vt:variant>
      <vt:variant>
        <vt:lpwstr/>
      </vt:variant>
      <vt:variant>
        <vt:i4>7471167</vt:i4>
      </vt:variant>
      <vt:variant>
        <vt:i4>21</vt:i4>
      </vt:variant>
      <vt:variant>
        <vt:i4>0</vt:i4>
      </vt:variant>
      <vt:variant>
        <vt:i4>5</vt:i4>
      </vt:variant>
      <vt:variant>
        <vt:lpwstr>http://policies.fad.harvard.edu/pages/bank-accounts</vt:lpwstr>
      </vt:variant>
      <vt:variant>
        <vt:lpwstr/>
      </vt:variant>
      <vt:variant>
        <vt:i4>8126466</vt:i4>
      </vt:variant>
      <vt:variant>
        <vt:i4>18</vt:i4>
      </vt:variant>
      <vt:variant>
        <vt:i4>0</vt:i4>
      </vt:variant>
      <vt:variant>
        <vt:i4>5</vt:i4>
      </vt:variant>
      <vt:variant>
        <vt:lpwstr>https://trainingportal.harvard.edu/Saba/Web_spf/NA1PRD0068/pages/pagedetailview/spage000000000006265</vt:lpwstr>
      </vt:variant>
      <vt:variant>
        <vt:lpwstr/>
      </vt:variant>
      <vt:variant>
        <vt:i4>7667745</vt:i4>
      </vt:variant>
      <vt:variant>
        <vt:i4>15</vt:i4>
      </vt:variant>
      <vt:variant>
        <vt:i4>0</vt:i4>
      </vt:variant>
      <vt:variant>
        <vt:i4>5</vt:i4>
      </vt:variant>
      <vt:variant>
        <vt:lpwstr>https://internalcontrols.oc.finance.harvard.edu/cash-management</vt:lpwstr>
      </vt:variant>
      <vt:variant>
        <vt:lpwstr/>
      </vt:variant>
      <vt:variant>
        <vt:i4>327775</vt:i4>
      </vt:variant>
      <vt:variant>
        <vt:i4>12</vt:i4>
      </vt:variant>
      <vt:variant>
        <vt:i4>0</vt:i4>
      </vt:variant>
      <vt:variant>
        <vt:i4>5</vt:i4>
      </vt:variant>
      <vt:variant>
        <vt:lpwstr>http://policies.fad.harvard.edu/pages/accepting-credit-card-payments</vt:lpwstr>
      </vt:variant>
      <vt:variant>
        <vt:lpwstr/>
      </vt:variant>
      <vt:variant>
        <vt:i4>7405648</vt:i4>
      </vt:variant>
      <vt:variant>
        <vt:i4>9</vt:i4>
      </vt:variant>
      <vt:variant>
        <vt:i4>0</vt:i4>
      </vt:variant>
      <vt:variant>
        <vt:i4>5</vt:i4>
      </vt:variant>
      <vt:variant>
        <vt:lpwstr>mailto:financialpolicy@harvard.edu</vt:lpwstr>
      </vt:variant>
      <vt:variant>
        <vt:lpwstr/>
      </vt:variant>
      <vt:variant>
        <vt:i4>1769500</vt:i4>
      </vt:variant>
      <vt:variant>
        <vt:i4>6</vt:i4>
      </vt:variant>
      <vt:variant>
        <vt:i4>0</vt:i4>
      </vt:variant>
      <vt:variant>
        <vt:i4>5</vt:i4>
      </vt:variant>
      <vt:variant>
        <vt:lpwstr>https://internalcontrols.oc.finance.harvard.edu/</vt:lpwstr>
      </vt:variant>
      <vt:variant>
        <vt:lpwstr/>
      </vt:variant>
      <vt:variant>
        <vt:i4>6422528</vt:i4>
      </vt:variant>
      <vt:variant>
        <vt:i4>3</vt:i4>
      </vt:variant>
      <vt:variant>
        <vt:i4>0</vt:i4>
      </vt:variant>
      <vt:variant>
        <vt:i4>5</vt:i4>
      </vt:variant>
      <vt:variant>
        <vt:lpwstr>https://trainingportal.harvard.edu/Saba/Web_spf/NA1PRD0068/app/workspace/pgcnt000000000116897?redirectedFormOld=true</vt:lpwstr>
      </vt:variant>
      <vt:variant>
        <vt:lpwstr/>
      </vt:variant>
      <vt:variant>
        <vt:i4>5242904</vt:i4>
      </vt:variant>
      <vt:variant>
        <vt:i4>0</vt:i4>
      </vt:variant>
      <vt:variant>
        <vt:i4>0</vt:i4>
      </vt:variant>
      <vt:variant>
        <vt:i4>5</vt:i4>
      </vt:variant>
      <vt:variant>
        <vt:lpwstr>http://policies.fad.harvard.edu/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Sexton</dc:creator>
  <cp:keywords/>
  <cp:lastModifiedBy>Kittredge, Karen J.</cp:lastModifiedBy>
  <cp:revision>16</cp:revision>
  <cp:lastPrinted>2025-09-21T23:54:00Z</cp:lastPrinted>
  <dcterms:created xsi:type="dcterms:W3CDTF">2025-10-22T15:46:00Z</dcterms:created>
  <dcterms:modified xsi:type="dcterms:W3CDTF">2025-11-24T16:34:00Z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0x010100124F1C1D1B19F74C917C8617E2F071DA</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AuthorIds_UIVersion_4608">
    <vt:lpwstr>1</vt:lpwstr>
  </property>
  <property fmtid="{D5CDD505-2E9C-101B-9397-08002B2CF9AE}" pid="7" name="GrammarlyDocumentId">
    <vt:lpwstr>6bee5376-43bb-495c-9c4f-14e04f5ea612</vt:lpwstr>
  </property>
  <property fmtid="{D5CDD505-2E9C-101B-9397-08002B2CF9AE}" pid="8" name="docLang">
    <vt:lpwstr>en</vt:lpwstr>
  </property>
</Properties>
</file>