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675A" w14:textId="77777777" w:rsidR="00D3782C" w:rsidRPr="002F760F" w:rsidRDefault="00D3782C" w:rsidP="002F760F">
      <w:pPr>
        <w:jc w:val="center"/>
        <w:rPr>
          <w:rFonts w:ascii="Arial" w:hAnsi="Arial" w:cs="Arial"/>
          <w:b/>
          <w:bCs/>
          <w:sz w:val="28"/>
          <w:szCs w:val="28"/>
        </w:rPr>
      </w:pPr>
      <w:bookmarkStart w:id="0" w:name="Appendix_B_Details_to_CAP"/>
      <w:r w:rsidRPr="002F760F">
        <w:rPr>
          <w:rFonts w:ascii="Arial" w:hAnsi="Arial" w:cs="Arial"/>
          <w:b/>
          <w:bCs/>
          <w:sz w:val="28"/>
          <w:szCs w:val="28"/>
        </w:rPr>
        <w:t>Appendix B</w:t>
      </w:r>
      <w:bookmarkEnd w:id="0"/>
      <w:r w:rsidRPr="002F760F">
        <w:rPr>
          <w:rFonts w:ascii="Arial" w:hAnsi="Arial" w:cs="Arial"/>
          <w:b/>
          <w:bCs/>
          <w:sz w:val="28"/>
          <w:szCs w:val="28"/>
        </w:rPr>
        <w:t>: Detailed Guidance on Capitalizing vs. Expensing Expenditures</w:t>
      </w:r>
    </w:p>
    <w:p w14:paraId="3915D05F" w14:textId="77777777" w:rsidR="00D3782C" w:rsidRDefault="00D3782C" w:rsidP="00D3782C">
      <w:pPr>
        <w:pStyle w:val="BodyText"/>
        <w:spacing w:before="6"/>
        <w:rPr>
          <w:rFonts w:ascii="Arial"/>
          <w:b/>
          <w:sz w:val="21"/>
        </w:rPr>
      </w:pPr>
      <w:r>
        <w:rPr>
          <w:rFonts w:ascii="Arial"/>
          <w:b/>
          <w:noProof/>
          <w:sz w:val="21"/>
        </w:rPr>
        <mc:AlternateContent>
          <mc:Choice Requires="wps">
            <w:drawing>
              <wp:anchor distT="0" distB="0" distL="114300" distR="114300" simplePos="0" relativeHeight="251659264" behindDoc="0" locked="0" layoutInCell="1" allowOverlap="1" wp14:anchorId="58FE4510" wp14:editId="1ACCB00A">
                <wp:simplePos x="0" y="0"/>
                <wp:positionH relativeFrom="column">
                  <wp:posOffset>0</wp:posOffset>
                </wp:positionH>
                <wp:positionV relativeFrom="paragraph">
                  <wp:posOffset>129540</wp:posOffset>
                </wp:positionV>
                <wp:extent cx="5981700" cy="9525"/>
                <wp:effectExtent l="0" t="0" r="19050" b="2857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81700" cy="9525"/>
                        </a:xfrm>
                        <a:prstGeom prst="line">
                          <a:avLst/>
                        </a:prstGeom>
                        <a:ln w="19050">
                          <a:solidFill>
                            <a:srgbClr val="C0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E8377BA" id="Straight Connector 3"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0.2pt" to="47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" strokecolor="#c00000" strokeweight="1.5pt">
                <v:stroke joinstyle="miter"/>
              </v:line>
            </w:pict>
          </mc:Fallback>
        </mc:AlternateContent>
      </w:r>
    </w:p>
    <w:p w14:paraId="14E79CD6" w14:textId="77777777" w:rsidR="00D3782C" w:rsidRPr="00017B5F" w:rsidRDefault="00D3782C" w:rsidP="00D3782C">
      <w:pPr>
        <w:rPr>
          <w:b/>
        </w:rPr>
      </w:pPr>
      <w:r w:rsidRPr="00FB717D">
        <w:t xml:space="preserve">Basic rules for how and when to record capital items: To qualify for capitalization, an expenditure must meet all three of the </w:t>
      </w:r>
      <w:proofErr w:type="gramStart"/>
      <w:r w:rsidRPr="00FB717D">
        <w:t>below criteria</w:t>
      </w:r>
      <w:proofErr w:type="gramEnd"/>
      <w:r w:rsidRPr="00FB717D">
        <w:t>. If the item does not meet all of these criteria, the amount must be expensed in the year incurred (i.e., when goods are received by or services are provided to the University).</w:t>
      </w:r>
    </w:p>
    <w:p w14:paraId="14788CCB" w14:textId="77777777" w:rsidR="00D3782C" w:rsidRPr="00017B5F" w:rsidRDefault="00D3782C" w:rsidP="00D3782C">
      <w:pPr>
        <w:pStyle w:val="ListParagraph"/>
        <w:numPr>
          <w:ilvl w:val="0"/>
          <w:numId w:val="22"/>
        </w:numPr>
        <w:rPr>
          <w:b/>
        </w:rPr>
      </w:pPr>
      <w:r>
        <w:t>T</w:t>
      </w:r>
      <w:r w:rsidRPr="00FB717D">
        <w:t>he</w:t>
      </w:r>
      <w:r w:rsidRPr="00017B5F">
        <w:rPr>
          <w:spacing w:val="-4"/>
        </w:rPr>
        <w:t xml:space="preserve"> </w:t>
      </w:r>
      <w:r w:rsidRPr="00FB717D">
        <w:t>item</w:t>
      </w:r>
      <w:r w:rsidRPr="00017B5F">
        <w:rPr>
          <w:spacing w:val="-4"/>
        </w:rPr>
        <w:t xml:space="preserve"> </w:t>
      </w:r>
      <w:r w:rsidRPr="00FB717D">
        <w:t>must</w:t>
      </w:r>
      <w:r w:rsidRPr="00017B5F">
        <w:rPr>
          <w:spacing w:val="-4"/>
        </w:rPr>
        <w:t xml:space="preserve"> </w:t>
      </w:r>
      <w:r w:rsidRPr="00FB717D">
        <w:t>be</w:t>
      </w:r>
      <w:r w:rsidRPr="00017B5F">
        <w:rPr>
          <w:spacing w:val="-4"/>
        </w:rPr>
        <w:t xml:space="preserve"> </w:t>
      </w:r>
      <w:r w:rsidRPr="00FB717D">
        <w:t>acquired</w:t>
      </w:r>
      <w:r w:rsidRPr="00017B5F">
        <w:rPr>
          <w:spacing w:val="-3"/>
        </w:rPr>
        <w:t xml:space="preserve"> </w:t>
      </w:r>
      <w:r w:rsidRPr="00FB717D">
        <w:t>for</w:t>
      </w:r>
      <w:r w:rsidRPr="00017B5F">
        <w:rPr>
          <w:spacing w:val="-4"/>
        </w:rPr>
        <w:t xml:space="preserve"> </w:t>
      </w:r>
      <w:r w:rsidRPr="00FB717D">
        <w:t>use</w:t>
      </w:r>
      <w:r w:rsidRPr="00017B5F">
        <w:rPr>
          <w:spacing w:val="-4"/>
        </w:rPr>
        <w:t xml:space="preserve"> </w:t>
      </w:r>
      <w:r w:rsidRPr="00FB717D">
        <w:t>in</w:t>
      </w:r>
      <w:r w:rsidRPr="00017B5F">
        <w:rPr>
          <w:spacing w:val="-3"/>
        </w:rPr>
        <w:t xml:space="preserve"> </w:t>
      </w:r>
      <w:r w:rsidRPr="00FB717D">
        <w:t>operations,</w:t>
      </w:r>
      <w:r w:rsidRPr="00017B5F">
        <w:rPr>
          <w:spacing w:val="-3"/>
        </w:rPr>
        <w:t xml:space="preserve"> </w:t>
      </w:r>
      <w:r w:rsidRPr="00FB717D">
        <w:t>and</w:t>
      </w:r>
      <w:r w:rsidRPr="00017B5F">
        <w:rPr>
          <w:spacing w:val="-3"/>
        </w:rPr>
        <w:t xml:space="preserve"> </w:t>
      </w:r>
      <w:r w:rsidRPr="00FB717D">
        <w:t>not</w:t>
      </w:r>
      <w:r w:rsidRPr="00017B5F">
        <w:rPr>
          <w:spacing w:val="-4"/>
        </w:rPr>
        <w:t xml:space="preserve"> </w:t>
      </w:r>
      <w:r w:rsidRPr="00FB717D">
        <w:t>for</w:t>
      </w:r>
      <w:r w:rsidRPr="00017B5F">
        <w:rPr>
          <w:spacing w:val="-4"/>
        </w:rPr>
        <w:t xml:space="preserve"> </w:t>
      </w:r>
      <w:r w:rsidRPr="00FB717D">
        <w:t>investment</w:t>
      </w:r>
      <w:r w:rsidRPr="00017B5F">
        <w:rPr>
          <w:spacing w:val="-4"/>
        </w:rPr>
        <w:t xml:space="preserve"> </w:t>
      </w:r>
      <w:r w:rsidRPr="00FB717D">
        <w:t>or</w:t>
      </w:r>
      <w:r w:rsidRPr="00017B5F">
        <w:rPr>
          <w:spacing w:val="-4"/>
        </w:rPr>
        <w:t xml:space="preserve"> </w:t>
      </w:r>
      <w:r>
        <w:t>sale, AND</w:t>
      </w:r>
    </w:p>
    <w:p w14:paraId="6FBE136C" w14:textId="77777777" w:rsidR="00D3782C" w:rsidRPr="00017B5F" w:rsidRDefault="00D3782C" w:rsidP="00D3782C">
      <w:pPr>
        <w:pStyle w:val="ListParagraph"/>
        <w:numPr>
          <w:ilvl w:val="0"/>
          <w:numId w:val="22"/>
        </w:numPr>
        <w:rPr>
          <w:b/>
        </w:rPr>
      </w:pPr>
      <w:r>
        <w:t>t</w:t>
      </w:r>
      <w:r w:rsidRPr="00FB717D">
        <w:t>he item must have a useful life of one year or</w:t>
      </w:r>
      <w:r w:rsidRPr="00017B5F">
        <w:rPr>
          <w:spacing w:val="-26"/>
        </w:rPr>
        <w:t xml:space="preserve"> </w:t>
      </w:r>
      <w:r>
        <w:t>more, AND</w:t>
      </w:r>
    </w:p>
    <w:p w14:paraId="69FC019B" w14:textId="77777777" w:rsidR="00D3782C" w:rsidRPr="00017B5F" w:rsidRDefault="00D3782C" w:rsidP="00D3782C">
      <w:pPr>
        <w:pStyle w:val="ListParagraph"/>
        <w:numPr>
          <w:ilvl w:val="0"/>
          <w:numId w:val="22"/>
        </w:numPr>
        <w:rPr>
          <w:b/>
        </w:rPr>
      </w:pPr>
      <w:r>
        <w:t>t</w:t>
      </w:r>
      <w:r w:rsidRPr="00FB717D">
        <w:t>he amount must meet the following materiality</w:t>
      </w:r>
      <w:r w:rsidRPr="00017B5F">
        <w:rPr>
          <w:spacing w:val="-28"/>
        </w:rPr>
        <w:t xml:space="preserve"> </w:t>
      </w:r>
      <w:r>
        <w:t>thresholds.</w:t>
      </w:r>
    </w:p>
    <w:tbl>
      <w:tblPr>
        <w:tblStyle w:val="TableGrid"/>
        <w:tblW w:w="0" w:type="auto"/>
        <w:tblInd w:w="175" w:type="dxa"/>
        <w:tblLook w:val="04A0" w:firstRow="1" w:lastRow="0" w:firstColumn="1" w:lastColumn="0" w:noHBand="0" w:noVBand="1"/>
      </w:tblPr>
      <w:tblGrid>
        <w:gridCol w:w="5400"/>
        <w:gridCol w:w="3510"/>
      </w:tblGrid>
      <w:tr w:rsidR="00D3782C" w:rsidRPr="00F65FD2" w14:paraId="71587D4E" w14:textId="77777777" w:rsidTr="09BCA8D2">
        <w:tc>
          <w:tcPr>
            <w:tcW w:w="5400" w:type="dxa"/>
          </w:tcPr>
          <w:p w14:paraId="03D67C64" w14:textId="77777777" w:rsidR="00D3782C" w:rsidRPr="00FB717D" w:rsidRDefault="00D3782C" w:rsidP="00FD12A1">
            <w:pPr>
              <w:pStyle w:val="BodyText"/>
              <w:spacing w:before="6"/>
              <w:rPr>
                <w:rFonts w:asciiTheme="minorHAnsi" w:hAnsiTheme="minorHAnsi" w:cstheme="minorHAnsi"/>
                <w:b/>
              </w:rPr>
            </w:pPr>
            <w:r w:rsidRPr="00FB717D">
              <w:rPr>
                <w:rFonts w:asciiTheme="minorHAnsi" w:hAnsiTheme="minorHAnsi" w:cstheme="minorHAnsi"/>
                <w:b/>
              </w:rPr>
              <w:t>Category</w:t>
            </w:r>
          </w:p>
        </w:tc>
        <w:tc>
          <w:tcPr>
            <w:tcW w:w="3510" w:type="dxa"/>
          </w:tcPr>
          <w:p w14:paraId="566EBD14" w14:textId="77777777" w:rsidR="00D3782C" w:rsidRPr="00FB717D" w:rsidRDefault="00D3782C" w:rsidP="00FD12A1">
            <w:pPr>
              <w:pStyle w:val="BodyText"/>
              <w:spacing w:before="6"/>
              <w:rPr>
                <w:rFonts w:asciiTheme="minorHAnsi" w:hAnsiTheme="minorHAnsi" w:cstheme="minorHAnsi"/>
                <w:b/>
              </w:rPr>
            </w:pPr>
            <w:r w:rsidRPr="00FB717D">
              <w:rPr>
                <w:rFonts w:asciiTheme="minorHAnsi" w:hAnsiTheme="minorHAnsi" w:cstheme="minorHAnsi"/>
                <w:b/>
              </w:rPr>
              <w:t xml:space="preserve">Threshold for </w:t>
            </w:r>
            <w:r>
              <w:rPr>
                <w:rFonts w:asciiTheme="minorHAnsi" w:hAnsiTheme="minorHAnsi" w:cstheme="minorHAnsi"/>
                <w:b/>
              </w:rPr>
              <w:t xml:space="preserve">Required </w:t>
            </w:r>
            <w:r w:rsidRPr="00FB717D">
              <w:rPr>
                <w:rFonts w:asciiTheme="minorHAnsi" w:hAnsiTheme="minorHAnsi" w:cstheme="minorHAnsi"/>
                <w:b/>
              </w:rPr>
              <w:t>Capitalization</w:t>
            </w:r>
          </w:p>
        </w:tc>
      </w:tr>
      <w:tr w:rsidR="00D3782C" w:rsidRPr="00F65FD2" w14:paraId="5FBF90F7" w14:textId="77777777" w:rsidTr="09BCA8D2">
        <w:tc>
          <w:tcPr>
            <w:tcW w:w="5400" w:type="dxa"/>
          </w:tcPr>
          <w:p w14:paraId="6ACC1FC1" w14:textId="77777777"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Land</w:t>
            </w:r>
          </w:p>
        </w:tc>
        <w:tc>
          <w:tcPr>
            <w:tcW w:w="3510" w:type="dxa"/>
          </w:tcPr>
          <w:p w14:paraId="33EB2A39" w14:textId="77777777"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N/A – all land is capitalized</w:t>
            </w:r>
          </w:p>
        </w:tc>
      </w:tr>
      <w:tr w:rsidR="00D3782C" w:rsidRPr="00F65FD2" w14:paraId="0E92A1F1" w14:textId="77777777" w:rsidTr="09BCA8D2">
        <w:tc>
          <w:tcPr>
            <w:tcW w:w="5400" w:type="dxa"/>
          </w:tcPr>
          <w:p w14:paraId="53293FC7" w14:textId="77777777"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Land Improvements</w:t>
            </w:r>
          </w:p>
        </w:tc>
        <w:tc>
          <w:tcPr>
            <w:tcW w:w="3510" w:type="dxa"/>
          </w:tcPr>
          <w:p w14:paraId="70808C48" w14:textId="77777777"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w:t>
            </w:r>
            <w:r>
              <w:rPr>
                <w:rFonts w:asciiTheme="minorHAnsi" w:hAnsiTheme="minorHAnsi" w:cstheme="minorHAnsi"/>
              </w:rPr>
              <w:t>3</w:t>
            </w:r>
            <w:r w:rsidRPr="00FB717D">
              <w:rPr>
                <w:rFonts w:asciiTheme="minorHAnsi" w:hAnsiTheme="minorHAnsi" w:cstheme="minorHAnsi"/>
              </w:rPr>
              <w:t xml:space="preserve">00,000 (in total project </w:t>
            </w:r>
            <w:proofErr w:type="gramStart"/>
            <w:r w:rsidRPr="00FB717D">
              <w:rPr>
                <w:rFonts w:asciiTheme="minorHAnsi" w:hAnsiTheme="minorHAnsi" w:cstheme="minorHAnsi"/>
              </w:rPr>
              <w:t>costs)</w:t>
            </w:r>
            <w:r>
              <w:rPr>
                <w:rFonts w:asciiTheme="minorHAnsi" w:hAnsiTheme="minorHAnsi" w:cstheme="minorHAnsi"/>
              </w:rPr>
              <w:t>*</w:t>
            </w:r>
            <w:proofErr w:type="gramEnd"/>
          </w:p>
        </w:tc>
      </w:tr>
      <w:tr w:rsidR="00D3782C" w:rsidRPr="00F65FD2" w14:paraId="5C3FDF6F" w14:textId="77777777" w:rsidTr="09BCA8D2">
        <w:tc>
          <w:tcPr>
            <w:tcW w:w="5400" w:type="dxa"/>
          </w:tcPr>
          <w:p w14:paraId="2A5B50BA" w14:textId="77777777"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Buildings</w:t>
            </w:r>
          </w:p>
        </w:tc>
        <w:tc>
          <w:tcPr>
            <w:tcW w:w="3510" w:type="dxa"/>
          </w:tcPr>
          <w:p w14:paraId="0C34AF90" w14:textId="77777777"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w:t>
            </w:r>
            <w:r>
              <w:rPr>
                <w:rFonts w:asciiTheme="minorHAnsi" w:hAnsiTheme="minorHAnsi" w:cstheme="minorHAnsi"/>
              </w:rPr>
              <w:t>3</w:t>
            </w:r>
            <w:r w:rsidRPr="00FB717D">
              <w:rPr>
                <w:rFonts w:asciiTheme="minorHAnsi" w:hAnsiTheme="minorHAnsi" w:cstheme="minorHAnsi"/>
              </w:rPr>
              <w:t xml:space="preserve">00,000 (in total project </w:t>
            </w:r>
            <w:proofErr w:type="gramStart"/>
            <w:r w:rsidRPr="00FB717D">
              <w:rPr>
                <w:rFonts w:asciiTheme="minorHAnsi" w:hAnsiTheme="minorHAnsi" w:cstheme="minorHAnsi"/>
              </w:rPr>
              <w:t>costs)</w:t>
            </w:r>
            <w:r>
              <w:rPr>
                <w:rFonts w:asciiTheme="minorHAnsi" w:hAnsiTheme="minorHAnsi" w:cstheme="minorHAnsi"/>
              </w:rPr>
              <w:t>*</w:t>
            </w:r>
            <w:proofErr w:type="gramEnd"/>
          </w:p>
        </w:tc>
      </w:tr>
      <w:tr w:rsidR="00D3782C" w:rsidRPr="00F65FD2" w14:paraId="1F53BE1F" w14:textId="77777777" w:rsidTr="09BCA8D2">
        <w:tc>
          <w:tcPr>
            <w:tcW w:w="5400" w:type="dxa"/>
          </w:tcPr>
          <w:p w14:paraId="196B810A" w14:textId="77777777"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Building Improvements</w:t>
            </w:r>
          </w:p>
        </w:tc>
        <w:tc>
          <w:tcPr>
            <w:tcW w:w="3510" w:type="dxa"/>
          </w:tcPr>
          <w:p w14:paraId="4C421CB2" w14:textId="77777777"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w:t>
            </w:r>
            <w:r>
              <w:rPr>
                <w:rFonts w:asciiTheme="minorHAnsi" w:hAnsiTheme="minorHAnsi" w:cstheme="minorHAnsi"/>
              </w:rPr>
              <w:t>3</w:t>
            </w:r>
            <w:r w:rsidRPr="00FB717D">
              <w:rPr>
                <w:rFonts w:asciiTheme="minorHAnsi" w:hAnsiTheme="minorHAnsi" w:cstheme="minorHAnsi"/>
              </w:rPr>
              <w:t xml:space="preserve">00,000 (in total project </w:t>
            </w:r>
            <w:proofErr w:type="gramStart"/>
            <w:r w:rsidRPr="00FB717D">
              <w:rPr>
                <w:rFonts w:asciiTheme="minorHAnsi" w:hAnsiTheme="minorHAnsi" w:cstheme="minorHAnsi"/>
              </w:rPr>
              <w:t>costs)</w:t>
            </w:r>
            <w:r>
              <w:rPr>
                <w:rFonts w:asciiTheme="minorHAnsi" w:hAnsiTheme="minorHAnsi" w:cstheme="minorHAnsi"/>
              </w:rPr>
              <w:t>*</w:t>
            </w:r>
            <w:proofErr w:type="gramEnd"/>
          </w:p>
        </w:tc>
      </w:tr>
      <w:tr w:rsidR="00D3782C" w:rsidRPr="00F65FD2" w14:paraId="01CC0F8D" w14:textId="77777777" w:rsidTr="09BCA8D2">
        <w:tc>
          <w:tcPr>
            <w:tcW w:w="5400" w:type="dxa"/>
          </w:tcPr>
          <w:p w14:paraId="6AB15C7D" w14:textId="77777777"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Leasehold Improvements</w:t>
            </w:r>
          </w:p>
        </w:tc>
        <w:tc>
          <w:tcPr>
            <w:tcW w:w="3510" w:type="dxa"/>
          </w:tcPr>
          <w:p w14:paraId="31360E37" w14:textId="77777777"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w:t>
            </w:r>
            <w:r>
              <w:rPr>
                <w:rFonts w:asciiTheme="minorHAnsi" w:hAnsiTheme="minorHAnsi" w:cstheme="minorHAnsi"/>
              </w:rPr>
              <w:t>3</w:t>
            </w:r>
            <w:r w:rsidRPr="00FB717D">
              <w:rPr>
                <w:rFonts w:asciiTheme="minorHAnsi" w:hAnsiTheme="minorHAnsi" w:cstheme="minorHAnsi"/>
              </w:rPr>
              <w:t xml:space="preserve">00,000 (in total project </w:t>
            </w:r>
            <w:proofErr w:type="gramStart"/>
            <w:r w:rsidRPr="00FB717D">
              <w:rPr>
                <w:rFonts w:asciiTheme="minorHAnsi" w:hAnsiTheme="minorHAnsi" w:cstheme="minorHAnsi"/>
              </w:rPr>
              <w:t>costs)</w:t>
            </w:r>
            <w:r>
              <w:rPr>
                <w:rFonts w:asciiTheme="minorHAnsi" w:hAnsiTheme="minorHAnsi" w:cstheme="minorHAnsi"/>
              </w:rPr>
              <w:t>*</w:t>
            </w:r>
            <w:proofErr w:type="gramEnd"/>
          </w:p>
        </w:tc>
      </w:tr>
      <w:tr w:rsidR="00D3782C" w:rsidRPr="00F65FD2" w14:paraId="4A9DB5C7" w14:textId="77777777" w:rsidTr="09BCA8D2">
        <w:tc>
          <w:tcPr>
            <w:tcW w:w="5400" w:type="dxa"/>
          </w:tcPr>
          <w:p w14:paraId="0C7D5736" w14:textId="77777777"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Fixed Equipment</w:t>
            </w:r>
          </w:p>
        </w:tc>
        <w:tc>
          <w:tcPr>
            <w:tcW w:w="3510" w:type="dxa"/>
          </w:tcPr>
          <w:p w14:paraId="3F8774EE" w14:textId="77777777"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w:t>
            </w:r>
            <w:r>
              <w:rPr>
                <w:rFonts w:asciiTheme="minorHAnsi" w:hAnsiTheme="minorHAnsi" w:cstheme="minorHAnsi"/>
              </w:rPr>
              <w:t>3</w:t>
            </w:r>
            <w:r w:rsidRPr="00FB717D">
              <w:rPr>
                <w:rFonts w:asciiTheme="minorHAnsi" w:hAnsiTheme="minorHAnsi" w:cstheme="minorHAnsi"/>
              </w:rPr>
              <w:t>00,000 – per unit</w:t>
            </w:r>
            <w:r>
              <w:rPr>
                <w:rFonts w:asciiTheme="minorHAnsi" w:hAnsiTheme="minorHAnsi" w:cstheme="minorHAnsi"/>
              </w:rPr>
              <w:t>*</w:t>
            </w:r>
          </w:p>
        </w:tc>
      </w:tr>
      <w:tr w:rsidR="00D3782C" w:rsidRPr="00F65FD2" w14:paraId="22191FDF" w14:textId="77777777" w:rsidTr="09BCA8D2">
        <w:tc>
          <w:tcPr>
            <w:tcW w:w="5400" w:type="dxa"/>
          </w:tcPr>
          <w:p w14:paraId="1F53705B" w14:textId="77777777"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Furnishings and Equipment (MFE)</w:t>
            </w:r>
          </w:p>
        </w:tc>
        <w:tc>
          <w:tcPr>
            <w:tcW w:w="3510" w:type="dxa"/>
          </w:tcPr>
          <w:p w14:paraId="5F0A1D76" w14:textId="34DAD9E2"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w:t>
            </w:r>
            <w:r w:rsidR="003C6247">
              <w:rPr>
                <w:rFonts w:asciiTheme="minorHAnsi" w:hAnsiTheme="minorHAnsi" w:cstheme="minorHAnsi"/>
              </w:rPr>
              <w:t>10</w:t>
            </w:r>
            <w:r w:rsidRPr="00FB717D">
              <w:rPr>
                <w:rFonts w:asciiTheme="minorHAnsi" w:hAnsiTheme="minorHAnsi" w:cstheme="minorHAnsi"/>
              </w:rPr>
              <w:t>,000 – per unit</w:t>
            </w:r>
            <w:r w:rsidR="00F97343">
              <w:rPr>
                <w:rFonts w:asciiTheme="minorHAnsi" w:hAnsiTheme="minorHAnsi" w:cstheme="minorHAnsi"/>
              </w:rPr>
              <w:t>**</w:t>
            </w:r>
          </w:p>
        </w:tc>
      </w:tr>
      <w:tr w:rsidR="00D3782C" w:rsidRPr="00F65FD2" w14:paraId="1A063276" w14:textId="77777777" w:rsidTr="09BCA8D2">
        <w:tc>
          <w:tcPr>
            <w:tcW w:w="5400" w:type="dxa"/>
          </w:tcPr>
          <w:p w14:paraId="38E865FC" w14:textId="77777777" w:rsidR="00D3782C" w:rsidRPr="00FB717D" w:rsidRDefault="00D3782C" w:rsidP="00FD12A1">
            <w:pPr>
              <w:pStyle w:val="BodyText"/>
              <w:spacing w:before="6"/>
              <w:ind w:left="252" w:hanging="252"/>
              <w:rPr>
                <w:rFonts w:asciiTheme="minorHAnsi" w:hAnsiTheme="minorHAnsi" w:cstheme="minorHAnsi"/>
              </w:rPr>
            </w:pPr>
            <w:r w:rsidRPr="00FB717D">
              <w:rPr>
                <w:rFonts w:asciiTheme="minorHAnsi" w:hAnsiTheme="minorHAnsi" w:cstheme="minorHAnsi"/>
              </w:rPr>
              <w:tab/>
              <w:t>MFE Upgrades</w:t>
            </w:r>
          </w:p>
        </w:tc>
        <w:tc>
          <w:tcPr>
            <w:tcW w:w="3510" w:type="dxa"/>
          </w:tcPr>
          <w:p w14:paraId="469D4253" w14:textId="235E6EAA" w:rsidR="00D3782C" w:rsidRPr="00FB717D" w:rsidRDefault="00D3782C" w:rsidP="00FD12A1">
            <w:pPr>
              <w:pStyle w:val="BodyText"/>
              <w:spacing w:before="6"/>
              <w:rPr>
                <w:rFonts w:asciiTheme="minorHAnsi" w:hAnsiTheme="minorHAnsi" w:cstheme="minorHAnsi"/>
              </w:rPr>
            </w:pPr>
            <w:r w:rsidRPr="00FB717D">
              <w:rPr>
                <w:rFonts w:asciiTheme="minorHAnsi" w:hAnsiTheme="minorHAnsi" w:cstheme="minorHAnsi"/>
              </w:rPr>
              <w:t>$</w:t>
            </w:r>
            <w:r w:rsidR="00142D4E">
              <w:rPr>
                <w:rFonts w:asciiTheme="minorHAnsi" w:hAnsiTheme="minorHAnsi" w:cstheme="minorHAnsi"/>
              </w:rPr>
              <w:t>10</w:t>
            </w:r>
            <w:r w:rsidRPr="00FB717D">
              <w:rPr>
                <w:rFonts w:asciiTheme="minorHAnsi" w:hAnsiTheme="minorHAnsi" w:cstheme="minorHAnsi"/>
              </w:rPr>
              <w:t>,000 – per unit</w:t>
            </w:r>
            <w:r w:rsidR="00142D4E">
              <w:rPr>
                <w:rFonts w:asciiTheme="minorHAnsi" w:hAnsiTheme="minorHAnsi" w:cstheme="minorHAnsi"/>
              </w:rPr>
              <w:t>**</w:t>
            </w:r>
          </w:p>
        </w:tc>
      </w:tr>
      <w:tr w:rsidR="00D3782C" w:rsidRPr="00C4707B" w14:paraId="2C03B031" w14:textId="77777777" w:rsidTr="09BCA8D2">
        <w:tc>
          <w:tcPr>
            <w:tcW w:w="5400" w:type="dxa"/>
          </w:tcPr>
          <w:p w14:paraId="7ACA9734" w14:textId="7ED216E9" w:rsidR="00D3782C" w:rsidRPr="00715EAE" w:rsidRDefault="00D3782C" w:rsidP="00FD12A1">
            <w:pPr>
              <w:pStyle w:val="BodyText"/>
              <w:spacing w:before="6"/>
              <w:ind w:left="252" w:hanging="252"/>
              <w:rPr>
                <w:rFonts w:asciiTheme="minorHAnsi" w:hAnsiTheme="minorHAnsi" w:cstheme="minorHAnsi"/>
              </w:rPr>
            </w:pPr>
            <w:r w:rsidRPr="00715EAE">
              <w:rPr>
                <w:rFonts w:asciiTheme="minorHAnsi" w:hAnsiTheme="minorHAnsi" w:cstheme="minorHAnsi"/>
              </w:rPr>
              <w:t>Software – Purchased, Licensed, or Developed</w:t>
            </w:r>
            <w:r>
              <w:rPr>
                <w:rFonts w:asciiTheme="minorHAnsi" w:hAnsiTheme="minorHAnsi" w:cstheme="minorHAnsi"/>
              </w:rPr>
              <w:t>**</w:t>
            </w:r>
            <w:r w:rsidR="00F97343">
              <w:rPr>
                <w:rFonts w:asciiTheme="minorHAnsi" w:hAnsiTheme="minorHAnsi" w:cstheme="minorHAnsi"/>
              </w:rPr>
              <w:t>*</w:t>
            </w:r>
          </w:p>
        </w:tc>
        <w:tc>
          <w:tcPr>
            <w:tcW w:w="3510" w:type="dxa"/>
          </w:tcPr>
          <w:p w14:paraId="4917AAE3" w14:textId="52A875B0" w:rsidR="00D3782C" w:rsidRPr="00715EAE" w:rsidRDefault="00D3782C" w:rsidP="09BCA8D2">
            <w:pPr>
              <w:pStyle w:val="BodyText"/>
              <w:spacing w:before="6"/>
              <w:rPr>
                <w:rFonts w:asciiTheme="minorHAnsi" w:hAnsiTheme="minorHAnsi" w:cstheme="minorBidi"/>
              </w:rPr>
            </w:pPr>
            <w:r w:rsidRPr="09BCA8D2">
              <w:rPr>
                <w:rFonts w:asciiTheme="minorHAnsi" w:hAnsiTheme="minorHAnsi" w:cstheme="minorBidi"/>
              </w:rPr>
              <w:t>$</w:t>
            </w:r>
            <w:r w:rsidR="1410770F" w:rsidRPr="09BCA8D2">
              <w:rPr>
                <w:rFonts w:asciiTheme="minorHAnsi" w:hAnsiTheme="minorHAnsi" w:cstheme="minorBidi"/>
              </w:rPr>
              <w:t>10</w:t>
            </w:r>
            <w:r w:rsidRPr="09BCA8D2">
              <w:rPr>
                <w:rFonts w:asciiTheme="minorHAnsi" w:hAnsiTheme="minorHAnsi" w:cstheme="minorBidi"/>
              </w:rPr>
              <w:t>,000</w:t>
            </w:r>
            <w:r w:rsidR="00142D4E" w:rsidRPr="09BCA8D2">
              <w:rPr>
                <w:rFonts w:asciiTheme="minorHAnsi" w:hAnsiTheme="minorHAnsi" w:cstheme="minorBidi"/>
              </w:rPr>
              <w:t>**</w:t>
            </w:r>
          </w:p>
        </w:tc>
      </w:tr>
      <w:tr w:rsidR="00D3782C" w:rsidRPr="00F65FD2" w14:paraId="0AF8B81D" w14:textId="77777777" w:rsidTr="09BCA8D2">
        <w:tc>
          <w:tcPr>
            <w:tcW w:w="5400" w:type="dxa"/>
          </w:tcPr>
          <w:p w14:paraId="248B0698" w14:textId="77777777" w:rsidR="00D3782C" w:rsidRPr="00715EAE" w:rsidRDefault="00D3782C" w:rsidP="00FD12A1">
            <w:pPr>
              <w:pStyle w:val="BodyText"/>
              <w:spacing w:before="6"/>
              <w:ind w:left="252" w:hanging="252"/>
              <w:rPr>
                <w:rFonts w:asciiTheme="minorHAnsi" w:hAnsiTheme="minorHAnsi" w:cstheme="minorHAnsi"/>
              </w:rPr>
            </w:pPr>
            <w:r w:rsidRPr="00715EAE">
              <w:rPr>
                <w:rFonts w:asciiTheme="minorHAnsi" w:hAnsiTheme="minorHAnsi" w:cstheme="minorHAnsi"/>
              </w:rPr>
              <w:tab/>
              <w:t>Purchased or Licensed software but Harvard does not “own” the code or maintain the software.</w:t>
            </w:r>
          </w:p>
        </w:tc>
        <w:tc>
          <w:tcPr>
            <w:tcW w:w="3510" w:type="dxa"/>
          </w:tcPr>
          <w:p w14:paraId="0488B0F1" w14:textId="77777777" w:rsidR="00D3782C" w:rsidRPr="00715EAE" w:rsidRDefault="00D3782C" w:rsidP="00FD12A1">
            <w:pPr>
              <w:pStyle w:val="BodyText"/>
              <w:spacing w:before="6"/>
              <w:rPr>
                <w:rFonts w:asciiTheme="minorHAnsi" w:hAnsiTheme="minorHAnsi" w:cstheme="minorHAnsi"/>
              </w:rPr>
            </w:pPr>
            <w:r w:rsidRPr="00715EAE">
              <w:rPr>
                <w:rFonts w:asciiTheme="minorHAnsi" w:hAnsiTheme="minorHAnsi" w:cstheme="minorHAnsi"/>
              </w:rPr>
              <w:t>Expense</w:t>
            </w:r>
          </w:p>
        </w:tc>
      </w:tr>
      <w:tr w:rsidR="00D3782C" w:rsidRPr="00F65FD2" w14:paraId="4822309C" w14:textId="77777777" w:rsidTr="09BCA8D2">
        <w:tc>
          <w:tcPr>
            <w:tcW w:w="5400" w:type="dxa"/>
          </w:tcPr>
          <w:p w14:paraId="02BBEA9C" w14:textId="77777777" w:rsidR="00D3782C" w:rsidRPr="00715EAE" w:rsidRDefault="00D3782C" w:rsidP="00FD12A1">
            <w:pPr>
              <w:pStyle w:val="BodyText"/>
              <w:spacing w:before="6"/>
              <w:ind w:left="252" w:hanging="252"/>
              <w:rPr>
                <w:rFonts w:asciiTheme="minorHAnsi" w:hAnsiTheme="minorHAnsi" w:cstheme="minorHAnsi"/>
              </w:rPr>
            </w:pPr>
            <w:r w:rsidRPr="00715EAE">
              <w:rPr>
                <w:rFonts w:asciiTheme="minorHAnsi" w:hAnsiTheme="minorHAnsi" w:cstheme="minorHAnsi"/>
              </w:rPr>
              <w:tab/>
            </w:r>
            <w:proofErr w:type="gramStart"/>
            <w:r w:rsidRPr="00715EAE">
              <w:rPr>
                <w:rFonts w:asciiTheme="minorHAnsi" w:hAnsiTheme="minorHAnsi" w:cstheme="minorHAnsi"/>
              </w:rPr>
              <w:t>Internally-Developed</w:t>
            </w:r>
            <w:proofErr w:type="gramEnd"/>
          </w:p>
        </w:tc>
        <w:tc>
          <w:tcPr>
            <w:tcW w:w="3510" w:type="dxa"/>
          </w:tcPr>
          <w:p w14:paraId="7E240D61" w14:textId="77777777" w:rsidR="00D3782C" w:rsidRPr="00715EAE" w:rsidRDefault="00D3782C" w:rsidP="00FD12A1">
            <w:pPr>
              <w:pStyle w:val="BodyText"/>
              <w:spacing w:before="6"/>
              <w:rPr>
                <w:rFonts w:asciiTheme="minorHAnsi" w:hAnsiTheme="minorHAnsi" w:cstheme="minorHAnsi"/>
              </w:rPr>
            </w:pPr>
            <w:r w:rsidRPr="00715EAE">
              <w:rPr>
                <w:rFonts w:asciiTheme="minorHAnsi" w:hAnsiTheme="minorHAnsi" w:cstheme="minorHAnsi"/>
              </w:rPr>
              <w:t>$</w:t>
            </w:r>
            <w:r>
              <w:rPr>
                <w:rFonts w:asciiTheme="minorHAnsi" w:hAnsiTheme="minorHAnsi" w:cstheme="minorHAnsi"/>
              </w:rPr>
              <w:t>500</w:t>
            </w:r>
            <w:r w:rsidRPr="00715EAE">
              <w:rPr>
                <w:rFonts w:asciiTheme="minorHAnsi" w:hAnsiTheme="minorHAnsi" w:cstheme="minorHAnsi"/>
              </w:rPr>
              <w:t>,000 (in total project costs)</w:t>
            </w:r>
          </w:p>
        </w:tc>
      </w:tr>
      <w:tr w:rsidR="00D3782C" w:rsidRPr="00F65FD2" w14:paraId="3F623BFC" w14:textId="77777777" w:rsidTr="09BCA8D2">
        <w:tc>
          <w:tcPr>
            <w:tcW w:w="5400" w:type="dxa"/>
          </w:tcPr>
          <w:p w14:paraId="62AFB081" w14:textId="77777777" w:rsidR="00D3782C" w:rsidRPr="00715EAE" w:rsidRDefault="00D3782C" w:rsidP="00FD12A1">
            <w:pPr>
              <w:pStyle w:val="BodyText"/>
              <w:spacing w:before="6"/>
              <w:ind w:left="252" w:hanging="252"/>
              <w:rPr>
                <w:rFonts w:asciiTheme="minorHAnsi" w:hAnsiTheme="minorHAnsi" w:cstheme="minorHAnsi"/>
              </w:rPr>
            </w:pPr>
            <w:r w:rsidRPr="00715EAE">
              <w:rPr>
                <w:rFonts w:asciiTheme="minorHAnsi" w:hAnsiTheme="minorHAnsi" w:cstheme="minorHAnsi"/>
              </w:rPr>
              <w:tab/>
              <w:t>Purchased (Harvard “owns” the code and can customize and maintains the software)</w:t>
            </w:r>
          </w:p>
        </w:tc>
        <w:tc>
          <w:tcPr>
            <w:tcW w:w="3510" w:type="dxa"/>
          </w:tcPr>
          <w:p w14:paraId="09132AEB" w14:textId="314BB5A9" w:rsidR="00D3782C" w:rsidRPr="00715EAE" w:rsidRDefault="00D3782C" w:rsidP="09BCA8D2">
            <w:pPr>
              <w:pStyle w:val="BodyText"/>
              <w:spacing w:before="6"/>
              <w:rPr>
                <w:rFonts w:asciiTheme="minorHAnsi" w:hAnsiTheme="minorHAnsi" w:cstheme="minorBidi"/>
              </w:rPr>
            </w:pPr>
            <w:r w:rsidRPr="09BCA8D2">
              <w:rPr>
                <w:rFonts w:asciiTheme="minorHAnsi" w:hAnsiTheme="minorHAnsi" w:cstheme="minorBidi"/>
              </w:rPr>
              <w:t>$</w:t>
            </w:r>
            <w:r w:rsidR="06590BD4" w:rsidRPr="09BCA8D2">
              <w:rPr>
                <w:rFonts w:asciiTheme="minorHAnsi" w:hAnsiTheme="minorHAnsi" w:cstheme="minorBidi"/>
              </w:rPr>
              <w:t>10</w:t>
            </w:r>
            <w:r w:rsidRPr="09BCA8D2">
              <w:rPr>
                <w:rFonts w:asciiTheme="minorHAnsi" w:hAnsiTheme="minorHAnsi" w:cstheme="minorBidi"/>
              </w:rPr>
              <w:t>,000 – per unit</w:t>
            </w:r>
            <w:r w:rsidR="00142D4E" w:rsidRPr="09BCA8D2">
              <w:rPr>
                <w:rFonts w:asciiTheme="minorHAnsi" w:hAnsiTheme="minorHAnsi" w:cstheme="minorBidi"/>
              </w:rPr>
              <w:t>**</w:t>
            </w:r>
          </w:p>
        </w:tc>
      </w:tr>
      <w:tr w:rsidR="00D3782C" w:rsidRPr="00F65FD2" w14:paraId="0333ECCD" w14:textId="77777777" w:rsidTr="09BCA8D2">
        <w:tc>
          <w:tcPr>
            <w:tcW w:w="5400" w:type="dxa"/>
          </w:tcPr>
          <w:p w14:paraId="36A3F862" w14:textId="77777777" w:rsidR="00D3782C" w:rsidRDefault="00D3782C" w:rsidP="00FD12A1">
            <w:pPr>
              <w:pStyle w:val="BodyText"/>
              <w:spacing w:before="6"/>
              <w:ind w:left="252" w:hanging="252"/>
              <w:rPr>
                <w:rFonts w:asciiTheme="minorHAnsi" w:hAnsiTheme="minorHAnsi" w:cstheme="minorHAnsi"/>
              </w:rPr>
            </w:pPr>
            <w:r>
              <w:rPr>
                <w:rFonts w:asciiTheme="minorHAnsi" w:hAnsiTheme="minorHAnsi" w:cstheme="minorHAnsi"/>
              </w:rPr>
              <w:tab/>
              <w:t>Licensed (Harvard “owns” the code and can customize and maintains the software</w:t>
            </w:r>
          </w:p>
        </w:tc>
        <w:tc>
          <w:tcPr>
            <w:tcW w:w="3510" w:type="dxa"/>
          </w:tcPr>
          <w:p w14:paraId="4B7C862B" w14:textId="12E482AF" w:rsidR="00D3782C" w:rsidRDefault="00D3782C" w:rsidP="09BCA8D2">
            <w:pPr>
              <w:pStyle w:val="BodyText"/>
              <w:spacing w:before="6"/>
              <w:rPr>
                <w:rFonts w:asciiTheme="minorHAnsi" w:hAnsiTheme="minorHAnsi" w:cstheme="minorBidi"/>
              </w:rPr>
            </w:pPr>
            <w:r w:rsidRPr="09BCA8D2">
              <w:rPr>
                <w:rFonts w:asciiTheme="minorHAnsi" w:hAnsiTheme="minorHAnsi" w:cstheme="minorBidi"/>
              </w:rPr>
              <w:t>$</w:t>
            </w:r>
            <w:r w:rsidR="1E740AE1" w:rsidRPr="09BCA8D2">
              <w:rPr>
                <w:rFonts w:asciiTheme="minorHAnsi" w:hAnsiTheme="minorHAnsi" w:cstheme="minorBidi"/>
              </w:rPr>
              <w:t>10</w:t>
            </w:r>
            <w:r w:rsidRPr="09BCA8D2">
              <w:rPr>
                <w:rFonts w:asciiTheme="minorHAnsi" w:hAnsiTheme="minorHAnsi" w:cstheme="minorBidi"/>
              </w:rPr>
              <w:t>,000 – per unit</w:t>
            </w:r>
            <w:r w:rsidR="00142D4E" w:rsidRPr="09BCA8D2">
              <w:rPr>
                <w:rFonts w:asciiTheme="minorHAnsi" w:hAnsiTheme="minorHAnsi" w:cstheme="minorBidi"/>
              </w:rPr>
              <w:t>**</w:t>
            </w:r>
          </w:p>
        </w:tc>
      </w:tr>
    </w:tbl>
    <w:p w14:paraId="7A102B64" w14:textId="77777777" w:rsidR="00D3782C" w:rsidRPr="00FB717D" w:rsidRDefault="00D3782C" w:rsidP="00D3782C">
      <w:r w:rsidRPr="00FB717D">
        <w:t>Recording an amount as an asset requires a debit to the appropriate asset object code. The following are the object code ranges for facilities and equipment assets.</w:t>
      </w:r>
    </w:p>
    <w:p w14:paraId="595DA100" w14:textId="04B9F1FA" w:rsidR="00D3782C" w:rsidRPr="00FB717D" w:rsidRDefault="00D3782C" w:rsidP="00D3782C">
      <w:r w:rsidRPr="00FB717D">
        <w:t xml:space="preserve">Equipment, furnishing and vehicle purchases (those that are </w:t>
      </w:r>
      <w:r w:rsidRPr="00FB717D">
        <w:rPr>
          <w:u w:val="single"/>
        </w:rPr>
        <w:t>not debt-financed and not part of a construction project</w:t>
      </w:r>
      <w:r w:rsidRPr="00FB717D">
        <w:t>) are initially recorded through the expense object code range 6800-6869, “Equipment, Furniture + Fixtures</w:t>
      </w:r>
      <w:r w:rsidR="00FF2BF0">
        <w:t xml:space="preserve"> Capital per PPE Policy</w:t>
      </w:r>
      <w:r w:rsidRPr="00FB717D">
        <w:t xml:space="preserve">”. The transaction is subsequently reclassified at the </w:t>
      </w:r>
      <w:r>
        <w:t>school or unit</w:t>
      </w:r>
      <w:r w:rsidRPr="00FB717D">
        <w:t xml:space="preserve"> level to the appropriate asset object code via a nightly Mass Additions process. Once the Mass Additions process is completed, the Create Accounting process is run to create journal entries that will record the asset costs on the balance sheet. Th</w:t>
      </w:r>
      <w:r>
        <w:t>ese</w:t>
      </w:r>
      <w:r w:rsidRPr="00FB717D">
        <w:t xml:space="preserve"> journal entr</w:t>
      </w:r>
      <w:r>
        <w:t>ies</w:t>
      </w:r>
      <w:r w:rsidRPr="00FB717D">
        <w:t xml:space="preserve"> result in the reclassification of the costs using special contra-fund</w:t>
      </w:r>
      <w:r>
        <w:t>s</w:t>
      </w:r>
      <w:r w:rsidRPr="00FB717D">
        <w:t xml:space="preserve">. The equipment expenditure remains recorded in the original fund that was charged. </w:t>
      </w:r>
    </w:p>
    <w:p w14:paraId="6A058865" w14:textId="77777777" w:rsidR="005C4546" w:rsidRDefault="00D3782C" w:rsidP="005C4546">
      <w:pPr>
        <w:spacing w:after="0"/>
      </w:pPr>
      <w:r>
        <w:t>*</w:t>
      </w:r>
      <w:r>
        <w:tab/>
        <w:t xml:space="preserve">Capitalizing total project or fixed equipment costs of $100,000 or more and less than $300,000 (excluding MFE) is </w:t>
      </w:r>
      <w:proofErr w:type="gramStart"/>
      <w:r>
        <w:t>allowable, but</w:t>
      </w:r>
      <w:proofErr w:type="gramEnd"/>
      <w:r>
        <w:t xml:space="preserve"> not required.</w:t>
      </w:r>
    </w:p>
    <w:p w14:paraId="595AF77B" w14:textId="20CCC09A" w:rsidR="00F97343" w:rsidRDefault="00F97343" w:rsidP="005C4546">
      <w:pPr>
        <w:spacing w:after="0"/>
      </w:pPr>
      <w:r>
        <w:t xml:space="preserve">** </w:t>
      </w:r>
      <w:r w:rsidR="00142D4E">
        <w:t xml:space="preserve">Assets purchased </w:t>
      </w:r>
      <w:r w:rsidR="0068200C">
        <w:t>on</w:t>
      </w:r>
      <w:r w:rsidR="00142D4E">
        <w:t xml:space="preserve"> a sponsored </w:t>
      </w:r>
      <w:r w:rsidR="00B5547E" w:rsidRPr="00564D75">
        <w:t xml:space="preserve">award </w:t>
      </w:r>
      <w:r w:rsidR="00B5547E">
        <w:t xml:space="preserve">with a </w:t>
      </w:r>
      <w:r w:rsidR="00B5547E" w:rsidRPr="00564D75">
        <w:t xml:space="preserve">start date </w:t>
      </w:r>
      <w:r w:rsidR="00B5547E" w:rsidRPr="00564D75">
        <w:rPr>
          <w:b/>
          <w:bCs/>
        </w:rPr>
        <w:t>before 07/01/</w:t>
      </w:r>
      <w:r w:rsidR="00B5547E">
        <w:rPr>
          <w:b/>
          <w:bCs/>
        </w:rPr>
        <w:t>25</w:t>
      </w:r>
      <w:r w:rsidR="00E6323F">
        <w:rPr>
          <w:b/>
          <w:bCs/>
        </w:rPr>
        <w:t xml:space="preserve"> </w:t>
      </w:r>
      <w:r w:rsidR="00142D4E">
        <w:t>must use a capitalization threshold of $5,000 per unit.</w:t>
      </w:r>
    </w:p>
    <w:p w14:paraId="6515CA88" w14:textId="5333EE76" w:rsidR="00D3782C" w:rsidRDefault="00D3782C" w:rsidP="005C4546">
      <w:pPr>
        <w:spacing w:after="0"/>
        <w:rPr>
          <w:rStyle w:val="Hyperlink"/>
          <w:rFonts w:cstheme="minorHAnsi"/>
        </w:rPr>
      </w:pPr>
      <w:r w:rsidRPr="004E0DCE">
        <w:t>*</w:t>
      </w:r>
      <w:r>
        <w:t>*</w:t>
      </w:r>
      <w:r w:rsidR="00F97343">
        <w:t>*</w:t>
      </w:r>
      <w:r>
        <w:t xml:space="preserve"> Se</w:t>
      </w:r>
      <w:r w:rsidRPr="00806C53">
        <w:t xml:space="preserve">e the </w:t>
      </w:r>
      <w:hyperlink r:id="rId11" w:history="1">
        <w:r>
          <w:rPr>
            <w:rStyle w:val="Hyperlink"/>
            <w:rFonts w:cstheme="minorHAnsi"/>
          </w:rPr>
          <w:t>Software Accounting Policy</w:t>
        </w:r>
      </w:hyperlink>
      <w:r>
        <w:rPr>
          <w:rStyle w:val="Hyperlink"/>
          <w:rFonts w:cstheme="minorHAnsi"/>
        </w:rPr>
        <w:br w:type="page"/>
      </w:r>
    </w:p>
    <w:p w14:paraId="1007A8DD" w14:textId="77777777" w:rsidR="00D3782C" w:rsidRPr="00FB717D" w:rsidRDefault="00D3782C" w:rsidP="00D3782C">
      <w:pPr>
        <w:pStyle w:val="LevelI"/>
        <w:numPr>
          <w:ilvl w:val="0"/>
          <w:numId w:val="23"/>
        </w:numPr>
      </w:pPr>
      <w:r w:rsidRPr="00FB717D">
        <w:lastRenderedPageBreak/>
        <w:t>Corresponding Expense/Asset Object Codes:</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5"/>
        <w:gridCol w:w="4310"/>
        <w:gridCol w:w="1440"/>
        <w:gridCol w:w="1440"/>
      </w:tblGrid>
      <w:tr w:rsidR="00D3782C" w:rsidRPr="00F65FD2" w14:paraId="019F4ED5" w14:textId="77777777" w:rsidTr="00FD12A1">
        <w:trPr>
          <w:trHeight w:val="240"/>
          <w:jc w:val="center"/>
        </w:trPr>
        <w:tc>
          <w:tcPr>
            <w:tcW w:w="2435" w:type="dxa"/>
            <w:vAlign w:val="bottom"/>
          </w:tcPr>
          <w:p w14:paraId="10E5D784" w14:textId="77777777" w:rsidR="00D3782C" w:rsidRPr="00FB717D" w:rsidRDefault="00D3782C" w:rsidP="00FD12A1">
            <w:pPr>
              <w:pStyle w:val="TableParagraph"/>
              <w:spacing w:line="224" w:lineRule="exact"/>
              <w:ind w:left="102"/>
              <w:jc w:val="center"/>
              <w:rPr>
                <w:rFonts w:asciiTheme="minorHAnsi" w:hAnsiTheme="minorHAnsi" w:cstheme="minorHAnsi"/>
                <w:b/>
                <w:sz w:val="20"/>
                <w:szCs w:val="20"/>
              </w:rPr>
            </w:pPr>
            <w:r w:rsidRPr="00FB717D">
              <w:rPr>
                <w:rFonts w:asciiTheme="minorHAnsi" w:hAnsiTheme="minorHAnsi" w:cstheme="minorHAnsi"/>
                <w:b/>
                <w:sz w:val="20"/>
                <w:szCs w:val="20"/>
              </w:rPr>
              <w:t>Asset Description</w:t>
            </w:r>
          </w:p>
        </w:tc>
        <w:tc>
          <w:tcPr>
            <w:tcW w:w="4310" w:type="dxa"/>
            <w:vAlign w:val="bottom"/>
          </w:tcPr>
          <w:p w14:paraId="5C89A364" w14:textId="77777777" w:rsidR="00D3782C" w:rsidRPr="00FB717D" w:rsidRDefault="00D3782C" w:rsidP="00FD12A1">
            <w:pPr>
              <w:pStyle w:val="TableParagraph"/>
              <w:spacing w:line="224" w:lineRule="exact"/>
              <w:ind w:left="102"/>
              <w:jc w:val="center"/>
              <w:rPr>
                <w:rFonts w:asciiTheme="minorHAnsi" w:hAnsiTheme="minorHAnsi" w:cstheme="minorHAnsi"/>
                <w:b/>
                <w:sz w:val="20"/>
                <w:szCs w:val="20"/>
              </w:rPr>
            </w:pPr>
            <w:r w:rsidRPr="00FB717D">
              <w:rPr>
                <w:rFonts w:asciiTheme="minorHAnsi" w:hAnsiTheme="minorHAnsi" w:cstheme="minorHAnsi"/>
                <w:b/>
                <w:sz w:val="20"/>
                <w:szCs w:val="20"/>
              </w:rPr>
              <w:t>Expense Description</w:t>
            </w:r>
          </w:p>
        </w:tc>
        <w:tc>
          <w:tcPr>
            <w:tcW w:w="1440" w:type="dxa"/>
            <w:vAlign w:val="bottom"/>
          </w:tcPr>
          <w:p w14:paraId="274E1543" w14:textId="77777777" w:rsidR="00D3782C" w:rsidRPr="00FB717D" w:rsidRDefault="00D3782C" w:rsidP="00FD12A1">
            <w:pPr>
              <w:pStyle w:val="TableParagraph"/>
              <w:spacing w:line="224" w:lineRule="exact"/>
              <w:ind w:left="102"/>
              <w:jc w:val="center"/>
              <w:rPr>
                <w:rFonts w:asciiTheme="minorHAnsi" w:hAnsiTheme="minorHAnsi" w:cstheme="minorHAnsi"/>
                <w:b/>
                <w:sz w:val="20"/>
                <w:szCs w:val="20"/>
              </w:rPr>
            </w:pPr>
            <w:r w:rsidRPr="00FB717D">
              <w:rPr>
                <w:rFonts w:asciiTheme="minorHAnsi" w:hAnsiTheme="minorHAnsi" w:cstheme="minorHAnsi"/>
                <w:b/>
                <w:sz w:val="20"/>
                <w:szCs w:val="20"/>
              </w:rPr>
              <w:t>Asset Object Code</w:t>
            </w:r>
          </w:p>
        </w:tc>
        <w:tc>
          <w:tcPr>
            <w:tcW w:w="1440" w:type="dxa"/>
            <w:vAlign w:val="bottom"/>
          </w:tcPr>
          <w:p w14:paraId="79926E53" w14:textId="77777777" w:rsidR="00D3782C" w:rsidRPr="00FB717D" w:rsidRDefault="00D3782C" w:rsidP="00FD12A1">
            <w:pPr>
              <w:pStyle w:val="TableParagraph"/>
              <w:spacing w:line="224" w:lineRule="exact"/>
              <w:ind w:left="102"/>
              <w:jc w:val="center"/>
              <w:rPr>
                <w:rFonts w:asciiTheme="minorHAnsi" w:hAnsiTheme="minorHAnsi" w:cstheme="minorHAnsi"/>
                <w:b/>
                <w:sz w:val="20"/>
                <w:szCs w:val="20"/>
              </w:rPr>
            </w:pPr>
            <w:r w:rsidRPr="00FB717D">
              <w:rPr>
                <w:rFonts w:asciiTheme="minorHAnsi" w:hAnsiTheme="minorHAnsi" w:cstheme="minorHAnsi"/>
                <w:b/>
                <w:sz w:val="20"/>
                <w:szCs w:val="20"/>
              </w:rPr>
              <w:t>Expense Object Code</w:t>
            </w:r>
          </w:p>
        </w:tc>
      </w:tr>
      <w:tr w:rsidR="00D3782C" w:rsidRPr="00F65FD2" w14:paraId="3B3A9B45" w14:textId="77777777" w:rsidTr="00FD12A1">
        <w:trPr>
          <w:trHeight w:val="240"/>
          <w:jc w:val="center"/>
        </w:trPr>
        <w:tc>
          <w:tcPr>
            <w:tcW w:w="2435" w:type="dxa"/>
            <w:vAlign w:val="bottom"/>
          </w:tcPr>
          <w:p w14:paraId="579FEB6A" w14:textId="77777777" w:rsidR="00D3782C" w:rsidRPr="00FB717D" w:rsidRDefault="00D3782C" w:rsidP="00FD12A1">
            <w:pPr>
              <w:pStyle w:val="TableParagraph"/>
              <w:spacing w:line="224" w:lineRule="exact"/>
              <w:ind w:left="102"/>
              <w:rPr>
                <w:rFonts w:asciiTheme="minorHAnsi" w:hAnsiTheme="minorHAnsi" w:cstheme="minorHAnsi"/>
                <w:sz w:val="20"/>
                <w:szCs w:val="20"/>
              </w:rPr>
            </w:pPr>
            <w:r w:rsidRPr="00FB717D">
              <w:rPr>
                <w:rFonts w:asciiTheme="minorHAnsi" w:hAnsiTheme="minorHAnsi" w:cstheme="minorHAnsi"/>
                <w:sz w:val="20"/>
                <w:szCs w:val="20"/>
              </w:rPr>
              <w:t>General Equipment</w:t>
            </w:r>
          </w:p>
        </w:tc>
        <w:tc>
          <w:tcPr>
            <w:tcW w:w="4310" w:type="dxa"/>
            <w:vAlign w:val="bottom"/>
          </w:tcPr>
          <w:p w14:paraId="2D171787" w14:textId="6C84B50C" w:rsidR="00D3782C" w:rsidRPr="00FB717D" w:rsidRDefault="00D3782C" w:rsidP="00FD12A1">
            <w:pPr>
              <w:pStyle w:val="TableParagraph"/>
              <w:spacing w:line="224"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Noncomputer Equip, Non-Sponsored^Equip </w:t>
            </w:r>
            <w:r w:rsidR="00BB5475">
              <w:rPr>
                <w:rFonts w:asciiTheme="minorHAnsi" w:hAnsiTheme="minorHAnsi" w:cstheme="minorHAnsi"/>
                <w:sz w:val="20"/>
                <w:szCs w:val="20"/>
              </w:rPr>
              <w:t>Capital per PPE Policy</w:t>
            </w:r>
          </w:p>
        </w:tc>
        <w:tc>
          <w:tcPr>
            <w:tcW w:w="1440" w:type="dxa"/>
            <w:vAlign w:val="bottom"/>
          </w:tcPr>
          <w:p w14:paraId="69EE6910" w14:textId="77777777" w:rsidR="00D3782C" w:rsidRPr="00FB717D" w:rsidRDefault="00D3782C" w:rsidP="00FD12A1">
            <w:pPr>
              <w:pStyle w:val="TableParagraph"/>
              <w:spacing w:line="224" w:lineRule="exact"/>
              <w:ind w:left="102"/>
              <w:rPr>
                <w:rFonts w:asciiTheme="minorHAnsi" w:hAnsiTheme="minorHAnsi" w:cstheme="minorHAnsi"/>
                <w:sz w:val="20"/>
                <w:szCs w:val="20"/>
              </w:rPr>
            </w:pPr>
            <w:r w:rsidRPr="00FB717D">
              <w:rPr>
                <w:rFonts w:asciiTheme="minorHAnsi" w:hAnsiTheme="minorHAnsi" w:cstheme="minorHAnsi"/>
                <w:sz w:val="20"/>
                <w:szCs w:val="20"/>
              </w:rPr>
              <w:t>1000-1029*</w:t>
            </w:r>
          </w:p>
        </w:tc>
        <w:tc>
          <w:tcPr>
            <w:tcW w:w="1440" w:type="dxa"/>
            <w:vAlign w:val="bottom"/>
          </w:tcPr>
          <w:p w14:paraId="7A416E8A" w14:textId="77777777" w:rsidR="00D3782C" w:rsidRPr="00FB717D" w:rsidRDefault="00D3782C" w:rsidP="00FD12A1">
            <w:pPr>
              <w:pStyle w:val="TableParagraph"/>
              <w:spacing w:line="224" w:lineRule="exact"/>
              <w:ind w:left="102"/>
              <w:rPr>
                <w:rFonts w:asciiTheme="minorHAnsi" w:hAnsiTheme="minorHAnsi" w:cstheme="minorHAnsi"/>
                <w:sz w:val="20"/>
                <w:szCs w:val="20"/>
              </w:rPr>
            </w:pPr>
            <w:r w:rsidRPr="00FB717D">
              <w:rPr>
                <w:rFonts w:asciiTheme="minorHAnsi" w:hAnsiTheme="minorHAnsi" w:cstheme="minorHAnsi"/>
                <w:sz w:val="20"/>
                <w:szCs w:val="20"/>
              </w:rPr>
              <w:t>6801</w:t>
            </w:r>
          </w:p>
        </w:tc>
      </w:tr>
      <w:tr w:rsidR="00D3782C" w:rsidRPr="00F65FD2" w14:paraId="20B54FAF" w14:textId="77777777" w:rsidTr="00FD12A1">
        <w:trPr>
          <w:trHeight w:val="240"/>
          <w:jc w:val="center"/>
        </w:trPr>
        <w:tc>
          <w:tcPr>
            <w:tcW w:w="2435" w:type="dxa"/>
            <w:vAlign w:val="bottom"/>
          </w:tcPr>
          <w:p w14:paraId="526378B6"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General Equipment</w:t>
            </w:r>
          </w:p>
        </w:tc>
        <w:tc>
          <w:tcPr>
            <w:tcW w:w="4310" w:type="dxa"/>
            <w:vAlign w:val="bottom"/>
          </w:tcPr>
          <w:p w14:paraId="4D1AC55E" w14:textId="3A227429"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Noncomputer Equip, </w:t>
            </w:r>
            <w:proofErr w:type="spellStart"/>
            <w:r w:rsidRPr="00FB717D">
              <w:rPr>
                <w:rFonts w:asciiTheme="minorHAnsi" w:hAnsiTheme="minorHAnsi" w:cstheme="minorHAnsi"/>
                <w:sz w:val="20"/>
                <w:szCs w:val="20"/>
              </w:rPr>
              <w:t>Sponsored^Equip</w:t>
            </w:r>
            <w:proofErr w:type="spellEnd"/>
            <w:r w:rsidRPr="00FB717D">
              <w:rPr>
                <w:rFonts w:asciiTheme="minorHAnsi" w:hAnsiTheme="minorHAnsi" w:cstheme="minorHAnsi"/>
                <w:sz w:val="20"/>
                <w:szCs w:val="20"/>
              </w:rPr>
              <w:t xml:space="preserve"> </w:t>
            </w:r>
            <w:r w:rsidR="00BB5475">
              <w:rPr>
                <w:rFonts w:asciiTheme="minorHAnsi" w:hAnsiTheme="minorHAnsi" w:cstheme="minorHAnsi"/>
                <w:sz w:val="20"/>
                <w:szCs w:val="20"/>
              </w:rPr>
              <w:t>Capital per PPE Policy</w:t>
            </w:r>
          </w:p>
        </w:tc>
        <w:tc>
          <w:tcPr>
            <w:tcW w:w="1440" w:type="dxa"/>
            <w:vAlign w:val="bottom"/>
          </w:tcPr>
          <w:p w14:paraId="17128C87"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1000-1029*</w:t>
            </w:r>
          </w:p>
        </w:tc>
        <w:tc>
          <w:tcPr>
            <w:tcW w:w="1440" w:type="dxa"/>
            <w:vAlign w:val="bottom"/>
          </w:tcPr>
          <w:p w14:paraId="3DA5E7AB"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6802</w:t>
            </w:r>
          </w:p>
        </w:tc>
      </w:tr>
      <w:tr w:rsidR="00D3782C" w:rsidRPr="00F65FD2" w14:paraId="1F30DB52" w14:textId="77777777" w:rsidTr="00FD12A1">
        <w:trPr>
          <w:trHeight w:val="260"/>
          <w:jc w:val="center"/>
        </w:trPr>
        <w:tc>
          <w:tcPr>
            <w:tcW w:w="2435" w:type="dxa"/>
            <w:vAlign w:val="bottom"/>
          </w:tcPr>
          <w:p w14:paraId="66BEA7C4"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Computer</w:t>
            </w:r>
            <w:r w:rsidRPr="00FB717D">
              <w:rPr>
                <w:rFonts w:asciiTheme="minorHAnsi" w:hAnsiTheme="minorHAnsi" w:cstheme="minorHAnsi"/>
                <w:spacing w:val="-4"/>
                <w:sz w:val="20"/>
                <w:szCs w:val="20"/>
              </w:rPr>
              <w:t xml:space="preserve"> </w:t>
            </w:r>
            <w:r w:rsidRPr="00FB717D">
              <w:rPr>
                <w:rFonts w:asciiTheme="minorHAnsi" w:hAnsiTheme="minorHAnsi" w:cstheme="minorHAnsi"/>
                <w:sz w:val="20"/>
                <w:szCs w:val="20"/>
              </w:rPr>
              <w:t>equipment</w:t>
            </w:r>
          </w:p>
        </w:tc>
        <w:tc>
          <w:tcPr>
            <w:tcW w:w="4310" w:type="dxa"/>
            <w:vAlign w:val="bottom"/>
          </w:tcPr>
          <w:p w14:paraId="3B36F713" w14:textId="56CF2AD3"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Computer, Non-Sponsored^Equip </w:t>
            </w:r>
            <w:r w:rsidR="00BB5475">
              <w:rPr>
                <w:rFonts w:asciiTheme="minorHAnsi" w:hAnsiTheme="minorHAnsi" w:cstheme="minorHAnsi"/>
                <w:sz w:val="20"/>
                <w:szCs w:val="20"/>
              </w:rPr>
              <w:t>Capital per PPE Policy</w:t>
            </w:r>
            <w:r w:rsidR="00BB5475" w:rsidRPr="00FB717D" w:rsidDel="00BB5475">
              <w:rPr>
                <w:rFonts w:asciiTheme="minorHAnsi" w:hAnsiTheme="minorHAnsi" w:cstheme="minorHAnsi"/>
                <w:sz w:val="20"/>
                <w:szCs w:val="20"/>
              </w:rPr>
              <w:t xml:space="preserve"> </w:t>
            </w:r>
          </w:p>
        </w:tc>
        <w:tc>
          <w:tcPr>
            <w:tcW w:w="1440" w:type="dxa"/>
            <w:vAlign w:val="bottom"/>
          </w:tcPr>
          <w:p w14:paraId="46B16AD2"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1030-1059*</w:t>
            </w:r>
          </w:p>
        </w:tc>
        <w:tc>
          <w:tcPr>
            <w:tcW w:w="1440" w:type="dxa"/>
            <w:vAlign w:val="bottom"/>
          </w:tcPr>
          <w:p w14:paraId="1F5BC8BE"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6803</w:t>
            </w:r>
          </w:p>
        </w:tc>
      </w:tr>
      <w:tr w:rsidR="00D3782C" w:rsidRPr="00F65FD2" w14:paraId="44F877FE" w14:textId="77777777" w:rsidTr="00FD12A1">
        <w:trPr>
          <w:trHeight w:val="240"/>
          <w:jc w:val="center"/>
        </w:trPr>
        <w:tc>
          <w:tcPr>
            <w:tcW w:w="2435" w:type="dxa"/>
            <w:vAlign w:val="bottom"/>
          </w:tcPr>
          <w:p w14:paraId="305A9868"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Computer</w:t>
            </w:r>
            <w:r w:rsidRPr="00FB717D">
              <w:rPr>
                <w:rFonts w:asciiTheme="minorHAnsi" w:hAnsiTheme="minorHAnsi" w:cstheme="minorHAnsi"/>
                <w:spacing w:val="-4"/>
                <w:sz w:val="20"/>
                <w:szCs w:val="20"/>
              </w:rPr>
              <w:t xml:space="preserve"> </w:t>
            </w:r>
            <w:r w:rsidRPr="00FB717D">
              <w:rPr>
                <w:rFonts w:asciiTheme="minorHAnsi" w:hAnsiTheme="minorHAnsi" w:cstheme="minorHAnsi"/>
                <w:sz w:val="20"/>
                <w:szCs w:val="20"/>
              </w:rPr>
              <w:t>equipment</w:t>
            </w:r>
          </w:p>
        </w:tc>
        <w:tc>
          <w:tcPr>
            <w:tcW w:w="4310" w:type="dxa"/>
            <w:vAlign w:val="bottom"/>
          </w:tcPr>
          <w:p w14:paraId="1E95896D" w14:textId="64AACA00"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Computer, </w:t>
            </w:r>
            <w:proofErr w:type="spellStart"/>
            <w:r w:rsidRPr="00FB717D">
              <w:rPr>
                <w:rFonts w:asciiTheme="minorHAnsi" w:hAnsiTheme="minorHAnsi" w:cstheme="minorHAnsi"/>
                <w:sz w:val="20"/>
                <w:szCs w:val="20"/>
              </w:rPr>
              <w:t>Sponsored^Equip</w:t>
            </w:r>
            <w:proofErr w:type="spellEnd"/>
            <w:r w:rsidRPr="00FB717D">
              <w:rPr>
                <w:rFonts w:asciiTheme="minorHAnsi" w:hAnsiTheme="minorHAnsi" w:cstheme="minorHAnsi"/>
                <w:sz w:val="20"/>
                <w:szCs w:val="20"/>
              </w:rPr>
              <w:t xml:space="preserve"> </w:t>
            </w:r>
            <w:r w:rsidR="00BB5475">
              <w:rPr>
                <w:rFonts w:asciiTheme="minorHAnsi" w:hAnsiTheme="minorHAnsi" w:cstheme="minorHAnsi"/>
                <w:sz w:val="20"/>
                <w:szCs w:val="20"/>
              </w:rPr>
              <w:t>Capital per PPE Policy</w:t>
            </w:r>
            <w:r w:rsidR="00BB5475" w:rsidRPr="00FB717D" w:rsidDel="00BB5475">
              <w:rPr>
                <w:rFonts w:asciiTheme="minorHAnsi" w:hAnsiTheme="minorHAnsi" w:cstheme="minorHAnsi"/>
                <w:sz w:val="20"/>
                <w:szCs w:val="20"/>
              </w:rPr>
              <w:t xml:space="preserve"> </w:t>
            </w:r>
          </w:p>
        </w:tc>
        <w:tc>
          <w:tcPr>
            <w:tcW w:w="1440" w:type="dxa"/>
            <w:vAlign w:val="bottom"/>
          </w:tcPr>
          <w:p w14:paraId="69C5E48D"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1030-1059*</w:t>
            </w:r>
          </w:p>
        </w:tc>
        <w:tc>
          <w:tcPr>
            <w:tcW w:w="1440" w:type="dxa"/>
            <w:vAlign w:val="bottom"/>
          </w:tcPr>
          <w:p w14:paraId="67DDD9C6"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6804</w:t>
            </w:r>
          </w:p>
        </w:tc>
      </w:tr>
      <w:tr w:rsidR="00D3782C" w:rsidRPr="00F65FD2" w14:paraId="1CA096E6" w14:textId="77777777" w:rsidTr="00FD12A1">
        <w:trPr>
          <w:trHeight w:val="260"/>
          <w:jc w:val="center"/>
        </w:trPr>
        <w:tc>
          <w:tcPr>
            <w:tcW w:w="2435" w:type="dxa"/>
            <w:vAlign w:val="bottom"/>
          </w:tcPr>
          <w:p w14:paraId="0B2016CE"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Residential furnishing</w:t>
            </w:r>
            <w:r w:rsidRPr="00FB717D">
              <w:rPr>
                <w:rFonts w:asciiTheme="minorHAnsi" w:hAnsiTheme="minorHAnsi" w:cstheme="minorHAnsi"/>
                <w:spacing w:val="-7"/>
                <w:sz w:val="20"/>
                <w:szCs w:val="20"/>
              </w:rPr>
              <w:t xml:space="preserve"> </w:t>
            </w:r>
            <w:r w:rsidRPr="00FB717D">
              <w:rPr>
                <w:rFonts w:asciiTheme="minorHAnsi" w:hAnsiTheme="minorHAnsi" w:cstheme="minorHAnsi"/>
                <w:sz w:val="20"/>
                <w:szCs w:val="20"/>
              </w:rPr>
              <w:t>+</w:t>
            </w:r>
            <w:r w:rsidRPr="00FB717D">
              <w:rPr>
                <w:rFonts w:asciiTheme="minorHAnsi" w:hAnsiTheme="minorHAnsi" w:cstheme="minorHAnsi"/>
                <w:spacing w:val="-3"/>
                <w:sz w:val="20"/>
                <w:szCs w:val="20"/>
              </w:rPr>
              <w:t xml:space="preserve"> </w:t>
            </w:r>
            <w:r>
              <w:rPr>
                <w:rFonts w:asciiTheme="minorHAnsi" w:hAnsiTheme="minorHAnsi" w:cstheme="minorHAnsi"/>
                <w:sz w:val="20"/>
                <w:szCs w:val="20"/>
              </w:rPr>
              <w:t>fixtures</w:t>
            </w:r>
          </w:p>
        </w:tc>
        <w:tc>
          <w:tcPr>
            <w:tcW w:w="4310" w:type="dxa"/>
            <w:vAlign w:val="bottom"/>
          </w:tcPr>
          <w:p w14:paraId="691793E8" w14:textId="07144AAE"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Residential </w:t>
            </w:r>
            <w:proofErr w:type="spellStart"/>
            <w:r w:rsidRPr="00FB717D">
              <w:rPr>
                <w:rFonts w:asciiTheme="minorHAnsi" w:hAnsiTheme="minorHAnsi" w:cstheme="minorHAnsi"/>
                <w:sz w:val="20"/>
                <w:szCs w:val="20"/>
              </w:rPr>
              <w:t>Furn+Fixtures</w:t>
            </w:r>
            <w:proofErr w:type="spellEnd"/>
            <w:r w:rsidRPr="00FB717D">
              <w:rPr>
                <w:rFonts w:asciiTheme="minorHAnsi" w:hAnsiTheme="minorHAnsi" w:cstheme="minorHAnsi"/>
                <w:sz w:val="20"/>
                <w:szCs w:val="20"/>
              </w:rPr>
              <w:t xml:space="preserve">, </w:t>
            </w:r>
            <w:proofErr w:type="spellStart"/>
            <w:r w:rsidRPr="00FB717D">
              <w:rPr>
                <w:rFonts w:asciiTheme="minorHAnsi" w:hAnsiTheme="minorHAnsi" w:cstheme="minorHAnsi"/>
                <w:sz w:val="20"/>
                <w:szCs w:val="20"/>
              </w:rPr>
              <w:t>Non-Sponsored^Equip</w:t>
            </w:r>
            <w:proofErr w:type="spellEnd"/>
            <w:r w:rsidRPr="00FB717D">
              <w:rPr>
                <w:rFonts w:asciiTheme="minorHAnsi" w:hAnsiTheme="minorHAnsi" w:cstheme="minorHAnsi"/>
                <w:sz w:val="20"/>
                <w:szCs w:val="20"/>
              </w:rPr>
              <w:t xml:space="preserve"> </w:t>
            </w:r>
            <w:r w:rsidR="00BB5475">
              <w:rPr>
                <w:rFonts w:asciiTheme="minorHAnsi" w:hAnsiTheme="minorHAnsi" w:cstheme="minorHAnsi"/>
                <w:sz w:val="20"/>
                <w:szCs w:val="20"/>
              </w:rPr>
              <w:t>Capital per PPE Policy</w:t>
            </w:r>
          </w:p>
        </w:tc>
        <w:tc>
          <w:tcPr>
            <w:tcW w:w="1440" w:type="dxa"/>
            <w:vAlign w:val="bottom"/>
          </w:tcPr>
          <w:p w14:paraId="48921887"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1060-1089*</w:t>
            </w:r>
          </w:p>
        </w:tc>
        <w:tc>
          <w:tcPr>
            <w:tcW w:w="1440" w:type="dxa"/>
            <w:vAlign w:val="bottom"/>
          </w:tcPr>
          <w:p w14:paraId="27C3C671"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6805</w:t>
            </w:r>
          </w:p>
        </w:tc>
      </w:tr>
      <w:tr w:rsidR="00D3782C" w:rsidRPr="00F65FD2" w14:paraId="54DDFCE7" w14:textId="77777777" w:rsidTr="00FD12A1">
        <w:trPr>
          <w:trHeight w:val="240"/>
          <w:jc w:val="center"/>
        </w:trPr>
        <w:tc>
          <w:tcPr>
            <w:tcW w:w="2435" w:type="dxa"/>
            <w:vAlign w:val="bottom"/>
          </w:tcPr>
          <w:p w14:paraId="57C9B1B9"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Residential furnishing</w:t>
            </w:r>
            <w:r w:rsidRPr="00FB717D">
              <w:rPr>
                <w:rFonts w:asciiTheme="minorHAnsi" w:hAnsiTheme="minorHAnsi" w:cstheme="minorHAnsi"/>
                <w:spacing w:val="-7"/>
                <w:sz w:val="20"/>
                <w:szCs w:val="20"/>
              </w:rPr>
              <w:t xml:space="preserve"> </w:t>
            </w:r>
            <w:r w:rsidRPr="00FB717D">
              <w:rPr>
                <w:rFonts w:asciiTheme="minorHAnsi" w:hAnsiTheme="minorHAnsi" w:cstheme="minorHAnsi"/>
                <w:sz w:val="20"/>
                <w:szCs w:val="20"/>
              </w:rPr>
              <w:t>+</w:t>
            </w:r>
            <w:r w:rsidRPr="00FB717D">
              <w:rPr>
                <w:rFonts w:asciiTheme="minorHAnsi" w:hAnsiTheme="minorHAnsi" w:cstheme="minorHAnsi"/>
                <w:spacing w:val="-3"/>
                <w:sz w:val="20"/>
                <w:szCs w:val="20"/>
              </w:rPr>
              <w:t xml:space="preserve"> </w:t>
            </w:r>
            <w:r w:rsidRPr="00FB717D">
              <w:rPr>
                <w:rFonts w:asciiTheme="minorHAnsi" w:hAnsiTheme="minorHAnsi" w:cstheme="minorHAnsi"/>
                <w:sz w:val="20"/>
                <w:szCs w:val="20"/>
              </w:rPr>
              <w:t>fixtures</w:t>
            </w:r>
          </w:p>
        </w:tc>
        <w:tc>
          <w:tcPr>
            <w:tcW w:w="4310" w:type="dxa"/>
            <w:vAlign w:val="bottom"/>
          </w:tcPr>
          <w:p w14:paraId="6FB3DA93" w14:textId="30819F2C"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Residential </w:t>
            </w:r>
            <w:proofErr w:type="spellStart"/>
            <w:r w:rsidRPr="00FB717D">
              <w:rPr>
                <w:rFonts w:asciiTheme="minorHAnsi" w:hAnsiTheme="minorHAnsi" w:cstheme="minorHAnsi"/>
                <w:sz w:val="20"/>
                <w:szCs w:val="20"/>
              </w:rPr>
              <w:t>Furn+Fixtures</w:t>
            </w:r>
            <w:proofErr w:type="spellEnd"/>
            <w:r w:rsidRPr="00FB717D">
              <w:rPr>
                <w:rFonts w:asciiTheme="minorHAnsi" w:hAnsiTheme="minorHAnsi" w:cstheme="minorHAnsi"/>
                <w:sz w:val="20"/>
                <w:szCs w:val="20"/>
              </w:rPr>
              <w:t xml:space="preserve">, </w:t>
            </w:r>
            <w:proofErr w:type="spellStart"/>
            <w:r w:rsidRPr="00FB717D">
              <w:rPr>
                <w:rFonts w:asciiTheme="minorHAnsi" w:hAnsiTheme="minorHAnsi" w:cstheme="minorHAnsi"/>
                <w:sz w:val="20"/>
                <w:szCs w:val="20"/>
              </w:rPr>
              <w:t>Sponsored^Equip</w:t>
            </w:r>
            <w:proofErr w:type="spellEnd"/>
            <w:r w:rsidRPr="00FB717D">
              <w:rPr>
                <w:rFonts w:asciiTheme="minorHAnsi" w:hAnsiTheme="minorHAnsi" w:cstheme="minorHAnsi"/>
                <w:sz w:val="20"/>
                <w:szCs w:val="20"/>
              </w:rPr>
              <w:t xml:space="preserve"> </w:t>
            </w:r>
            <w:r w:rsidR="00BB5475">
              <w:rPr>
                <w:rFonts w:asciiTheme="minorHAnsi" w:hAnsiTheme="minorHAnsi" w:cstheme="minorHAnsi"/>
                <w:sz w:val="20"/>
                <w:szCs w:val="20"/>
              </w:rPr>
              <w:t>Capital per PPE Policy</w:t>
            </w:r>
          </w:p>
        </w:tc>
        <w:tc>
          <w:tcPr>
            <w:tcW w:w="1440" w:type="dxa"/>
            <w:vAlign w:val="bottom"/>
          </w:tcPr>
          <w:p w14:paraId="61D52778"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1060-1089*</w:t>
            </w:r>
          </w:p>
        </w:tc>
        <w:tc>
          <w:tcPr>
            <w:tcW w:w="1440" w:type="dxa"/>
            <w:vAlign w:val="bottom"/>
          </w:tcPr>
          <w:p w14:paraId="4958205A"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6806</w:t>
            </w:r>
          </w:p>
        </w:tc>
      </w:tr>
      <w:tr w:rsidR="00D3782C" w:rsidRPr="00F65FD2" w14:paraId="53F804E2" w14:textId="77777777" w:rsidTr="00FD12A1">
        <w:trPr>
          <w:trHeight w:val="260"/>
          <w:jc w:val="center"/>
        </w:trPr>
        <w:tc>
          <w:tcPr>
            <w:tcW w:w="2435" w:type="dxa"/>
            <w:vAlign w:val="bottom"/>
          </w:tcPr>
          <w:p w14:paraId="633C0C72"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Office furnishings</w:t>
            </w:r>
            <w:r w:rsidRPr="00FB717D">
              <w:rPr>
                <w:rFonts w:asciiTheme="minorHAnsi" w:hAnsiTheme="minorHAnsi" w:cstheme="minorHAnsi"/>
                <w:spacing w:val="-7"/>
                <w:sz w:val="20"/>
                <w:szCs w:val="20"/>
              </w:rPr>
              <w:t xml:space="preserve"> </w:t>
            </w:r>
            <w:r w:rsidRPr="00FB717D">
              <w:rPr>
                <w:rFonts w:asciiTheme="minorHAnsi" w:hAnsiTheme="minorHAnsi" w:cstheme="minorHAnsi"/>
                <w:sz w:val="20"/>
                <w:szCs w:val="20"/>
              </w:rPr>
              <w:t>+</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fixtures</w:t>
            </w:r>
          </w:p>
        </w:tc>
        <w:tc>
          <w:tcPr>
            <w:tcW w:w="4310" w:type="dxa"/>
            <w:vAlign w:val="bottom"/>
          </w:tcPr>
          <w:p w14:paraId="11B66C26" w14:textId="77C42A08"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Office </w:t>
            </w:r>
            <w:proofErr w:type="spellStart"/>
            <w:r w:rsidRPr="00FB717D">
              <w:rPr>
                <w:rFonts w:asciiTheme="minorHAnsi" w:hAnsiTheme="minorHAnsi" w:cstheme="minorHAnsi"/>
                <w:sz w:val="20"/>
                <w:szCs w:val="20"/>
              </w:rPr>
              <w:t>Furn+Fixtures</w:t>
            </w:r>
            <w:proofErr w:type="spellEnd"/>
            <w:r w:rsidRPr="00FB717D">
              <w:rPr>
                <w:rFonts w:asciiTheme="minorHAnsi" w:hAnsiTheme="minorHAnsi" w:cstheme="minorHAnsi"/>
                <w:sz w:val="20"/>
                <w:szCs w:val="20"/>
              </w:rPr>
              <w:t xml:space="preserve">, </w:t>
            </w:r>
            <w:proofErr w:type="spellStart"/>
            <w:r w:rsidRPr="00FB717D">
              <w:rPr>
                <w:rFonts w:asciiTheme="minorHAnsi" w:hAnsiTheme="minorHAnsi" w:cstheme="minorHAnsi"/>
                <w:sz w:val="20"/>
                <w:szCs w:val="20"/>
              </w:rPr>
              <w:t>Non-Sponsored^Equip</w:t>
            </w:r>
            <w:proofErr w:type="spellEnd"/>
            <w:r w:rsidRPr="00FB717D">
              <w:rPr>
                <w:rFonts w:asciiTheme="minorHAnsi" w:hAnsiTheme="minorHAnsi" w:cstheme="minorHAnsi"/>
                <w:sz w:val="20"/>
                <w:szCs w:val="20"/>
              </w:rPr>
              <w:t xml:space="preserve"> </w:t>
            </w:r>
            <w:r w:rsidR="00A52C52">
              <w:rPr>
                <w:rFonts w:asciiTheme="minorHAnsi" w:hAnsiTheme="minorHAnsi" w:cstheme="minorHAnsi"/>
                <w:sz w:val="20"/>
                <w:szCs w:val="20"/>
              </w:rPr>
              <w:t>Capital per PPE Policy</w:t>
            </w:r>
          </w:p>
        </w:tc>
        <w:tc>
          <w:tcPr>
            <w:tcW w:w="1440" w:type="dxa"/>
            <w:vAlign w:val="bottom"/>
          </w:tcPr>
          <w:p w14:paraId="1E5FB583"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1090-1119*</w:t>
            </w:r>
          </w:p>
        </w:tc>
        <w:tc>
          <w:tcPr>
            <w:tcW w:w="1440" w:type="dxa"/>
            <w:vAlign w:val="bottom"/>
          </w:tcPr>
          <w:p w14:paraId="58C335E9"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6807</w:t>
            </w:r>
          </w:p>
        </w:tc>
      </w:tr>
      <w:tr w:rsidR="00D3782C" w:rsidRPr="00F65FD2" w14:paraId="1F5F4B63" w14:textId="77777777" w:rsidTr="00FD12A1">
        <w:trPr>
          <w:trHeight w:val="240"/>
          <w:jc w:val="center"/>
        </w:trPr>
        <w:tc>
          <w:tcPr>
            <w:tcW w:w="2435" w:type="dxa"/>
            <w:vAlign w:val="bottom"/>
          </w:tcPr>
          <w:p w14:paraId="6CE038C0"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Office furnishings</w:t>
            </w:r>
            <w:r w:rsidRPr="00FB717D">
              <w:rPr>
                <w:rFonts w:asciiTheme="minorHAnsi" w:hAnsiTheme="minorHAnsi" w:cstheme="minorHAnsi"/>
                <w:spacing w:val="-7"/>
                <w:sz w:val="20"/>
                <w:szCs w:val="20"/>
              </w:rPr>
              <w:t xml:space="preserve"> </w:t>
            </w:r>
            <w:r w:rsidRPr="00FB717D">
              <w:rPr>
                <w:rFonts w:asciiTheme="minorHAnsi" w:hAnsiTheme="minorHAnsi" w:cstheme="minorHAnsi"/>
                <w:sz w:val="20"/>
                <w:szCs w:val="20"/>
              </w:rPr>
              <w:t>+</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fixtures</w:t>
            </w:r>
          </w:p>
        </w:tc>
        <w:tc>
          <w:tcPr>
            <w:tcW w:w="4310" w:type="dxa"/>
            <w:vAlign w:val="bottom"/>
          </w:tcPr>
          <w:p w14:paraId="70EE181B" w14:textId="3B8D66F3"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Office </w:t>
            </w:r>
            <w:proofErr w:type="spellStart"/>
            <w:r w:rsidRPr="00FB717D">
              <w:rPr>
                <w:rFonts w:asciiTheme="minorHAnsi" w:hAnsiTheme="minorHAnsi" w:cstheme="minorHAnsi"/>
                <w:sz w:val="20"/>
                <w:szCs w:val="20"/>
              </w:rPr>
              <w:t>Furn+Fixtures</w:t>
            </w:r>
            <w:proofErr w:type="spellEnd"/>
            <w:r w:rsidRPr="00FB717D">
              <w:rPr>
                <w:rFonts w:asciiTheme="minorHAnsi" w:hAnsiTheme="minorHAnsi" w:cstheme="minorHAnsi"/>
                <w:sz w:val="20"/>
                <w:szCs w:val="20"/>
              </w:rPr>
              <w:t xml:space="preserve">, </w:t>
            </w:r>
            <w:proofErr w:type="spellStart"/>
            <w:r w:rsidRPr="00FB717D">
              <w:rPr>
                <w:rFonts w:asciiTheme="minorHAnsi" w:hAnsiTheme="minorHAnsi" w:cstheme="minorHAnsi"/>
                <w:sz w:val="20"/>
                <w:szCs w:val="20"/>
              </w:rPr>
              <w:t>Sponsored^Equip</w:t>
            </w:r>
            <w:proofErr w:type="spellEnd"/>
            <w:r w:rsidRPr="00FB717D">
              <w:rPr>
                <w:rFonts w:asciiTheme="minorHAnsi" w:hAnsiTheme="minorHAnsi" w:cstheme="minorHAnsi"/>
                <w:sz w:val="20"/>
                <w:szCs w:val="20"/>
              </w:rPr>
              <w:t xml:space="preserve"> </w:t>
            </w:r>
            <w:r w:rsidR="00A52C52">
              <w:rPr>
                <w:rFonts w:asciiTheme="minorHAnsi" w:hAnsiTheme="minorHAnsi" w:cstheme="minorHAnsi"/>
                <w:sz w:val="20"/>
                <w:szCs w:val="20"/>
              </w:rPr>
              <w:t>Capital per PPE Policy</w:t>
            </w:r>
          </w:p>
        </w:tc>
        <w:tc>
          <w:tcPr>
            <w:tcW w:w="1440" w:type="dxa"/>
            <w:vAlign w:val="bottom"/>
          </w:tcPr>
          <w:p w14:paraId="791FB579"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1090-1119*</w:t>
            </w:r>
          </w:p>
        </w:tc>
        <w:tc>
          <w:tcPr>
            <w:tcW w:w="1440" w:type="dxa"/>
            <w:vAlign w:val="bottom"/>
          </w:tcPr>
          <w:p w14:paraId="5081D1ED"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6808</w:t>
            </w:r>
          </w:p>
        </w:tc>
      </w:tr>
      <w:tr w:rsidR="00D3782C" w:rsidRPr="00F65FD2" w14:paraId="7522323E" w14:textId="77777777" w:rsidTr="00FD12A1">
        <w:trPr>
          <w:trHeight w:val="260"/>
          <w:jc w:val="center"/>
        </w:trPr>
        <w:tc>
          <w:tcPr>
            <w:tcW w:w="2435" w:type="dxa"/>
            <w:vAlign w:val="bottom"/>
          </w:tcPr>
          <w:p w14:paraId="25DBEA16"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Vehicles</w:t>
            </w:r>
          </w:p>
        </w:tc>
        <w:tc>
          <w:tcPr>
            <w:tcW w:w="4310" w:type="dxa"/>
            <w:vAlign w:val="bottom"/>
          </w:tcPr>
          <w:p w14:paraId="00B00EA9" w14:textId="3AB33D70"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Vehicle, Non-Sponsored^Equip </w:t>
            </w:r>
            <w:r w:rsidR="00A52C52">
              <w:rPr>
                <w:rFonts w:asciiTheme="minorHAnsi" w:hAnsiTheme="minorHAnsi" w:cstheme="minorHAnsi"/>
                <w:sz w:val="20"/>
                <w:szCs w:val="20"/>
              </w:rPr>
              <w:t>Capital per PPE Policy</w:t>
            </w:r>
          </w:p>
        </w:tc>
        <w:tc>
          <w:tcPr>
            <w:tcW w:w="1440" w:type="dxa"/>
            <w:vAlign w:val="bottom"/>
          </w:tcPr>
          <w:p w14:paraId="7D2F1380"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1120-1139*</w:t>
            </w:r>
          </w:p>
        </w:tc>
        <w:tc>
          <w:tcPr>
            <w:tcW w:w="1440" w:type="dxa"/>
            <w:vAlign w:val="bottom"/>
          </w:tcPr>
          <w:p w14:paraId="120C18DB"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6809</w:t>
            </w:r>
          </w:p>
        </w:tc>
      </w:tr>
      <w:tr w:rsidR="00D3782C" w:rsidRPr="00F65FD2" w14:paraId="05121038" w14:textId="77777777" w:rsidTr="00FD12A1">
        <w:trPr>
          <w:trHeight w:val="240"/>
          <w:jc w:val="center"/>
        </w:trPr>
        <w:tc>
          <w:tcPr>
            <w:tcW w:w="2435" w:type="dxa"/>
            <w:vAlign w:val="bottom"/>
          </w:tcPr>
          <w:p w14:paraId="3BEE6691"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Vehicles</w:t>
            </w:r>
          </w:p>
        </w:tc>
        <w:tc>
          <w:tcPr>
            <w:tcW w:w="4310" w:type="dxa"/>
            <w:vAlign w:val="bottom"/>
          </w:tcPr>
          <w:p w14:paraId="43E18DD6" w14:textId="0948BE45"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Vehicle, </w:t>
            </w:r>
            <w:proofErr w:type="spellStart"/>
            <w:r w:rsidRPr="00FB717D">
              <w:rPr>
                <w:rFonts w:asciiTheme="minorHAnsi" w:hAnsiTheme="minorHAnsi" w:cstheme="minorHAnsi"/>
                <w:sz w:val="20"/>
                <w:szCs w:val="20"/>
              </w:rPr>
              <w:t>Sponsored^Equip</w:t>
            </w:r>
            <w:proofErr w:type="spellEnd"/>
            <w:r w:rsidRPr="00FB717D">
              <w:rPr>
                <w:rFonts w:asciiTheme="minorHAnsi" w:hAnsiTheme="minorHAnsi" w:cstheme="minorHAnsi"/>
                <w:sz w:val="20"/>
                <w:szCs w:val="20"/>
              </w:rPr>
              <w:t xml:space="preserve"> </w:t>
            </w:r>
            <w:r w:rsidR="00A52C52">
              <w:rPr>
                <w:rFonts w:asciiTheme="minorHAnsi" w:hAnsiTheme="minorHAnsi" w:cstheme="minorHAnsi"/>
                <w:sz w:val="20"/>
                <w:szCs w:val="20"/>
              </w:rPr>
              <w:t>Capital per PPE Policy</w:t>
            </w:r>
          </w:p>
        </w:tc>
        <w:tc>
          <w:tcPr>
            <w:tcW w:w="1440" w:type="dxa"/>
            <w:vAlign w:val="bottom"/>
          </w:tcPr>
          <w:p w14:paraId="3F0B1752"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1120-1139*</w:t>
            </w:r>
          </w:p>
        </w:tc>
        <w:tc>
          <w:tcPr>
            <w:tcW w:w="1440" w:type="dxa"/>
            <w:vAlign w:val="bottom"/>
          </w:tcPr>
          <w:p w14:paraId="278A70B1"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6810</w:t>
            </w:r>
          </w:p>
        </w:tc>
      </w:tr>
      <w:tr w:rsidR="00D3782C" w:rsidRPr="00F65FD2" w14:paraId="37CD993D" w14:textId="77777777" w:rsidTr="00FD12A1">
        <w:trPr>
          <w:trHeight w:val="260"/>
          <w:jc w:val="center"/>
        </w:trPr>
        <w:tc>
          <w:tcPr>
            <w:tcW w:w="2435" w:type="dxa"/>
            <w:vAlign w:val="bottom"/>
          </w:tcPr>
          <w:p w14:paraId="2104E69F"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Work</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in</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progress</w:t>
            </w:r>
          </w:p>
        </w:tc>
        <w:tc>
          <w:tcPr>
            <w:tcW w:w="4310" w:type="dxa"/>
            <w:vAlign w:val="bottom"/>
          </w:tcPr>
          <w:p w14:paraId="54103707" w14:textId="46B8029B"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Non-Sponsored Work in </w:t>
            </w:r>
            <w:proofErr w:type="spellStart"/>
            <w:r w:rsidRPr="00FB717D">
              <w:rPr>
                <w:rFonts w:asciiTheme="minorHAnsi" w:hAnsiTheme="minorHAnsi" w:cstheme="minorHAnsi"/>
                <w:sz w:val="20"/>
                <w:szCs w:val="20"/>
              </w:rPr>
              <w:t>Progress^Equip</w:t>
            </w:r>
            <w:proofErr w:type="spellEnd"/>
            <w:r w:rsidRPr="00FB717D">
              <w:rPr>
                <w:rFonts w:asciiTheme="minorHAnsi" w:hAnsiTheme="minorHAnsi" w:cstheme="minorHAnsi"/>
                <w:sz w:val="20"/>
                <w:szCs w:val="20"/>
              </w:rPr>
              <w:t xml:space="preserve"> </w:t>
            </w:r>
            <w:r w:rsidR="00A52C52">
              <w:rPr>
                <w:rFonts w:asciiTheme="minorHAnsi" w:hAnsiTheme="minorHAnsi" w:cstheme="minorHAnsi"/>
                <w:sz w:val="20"/>
                <w:szCs w:val="20"/>
              </w:rPr>
              <w:t>Capital per PPE Policy</w:t>
            </w:r>
          </w:p>
        </w:tc>
        <w:tc>
          <w:tcPr>
            <w:tcW w:w="1440" w:type="dxa"/>
            <w:vAlign w:val="bottom"/>
          </w:tcPr>
          <w:p w14:paraId="0D1BFC82"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w w:val="95"/>
                <w:sz w:val="20"/>
                <w:szCs w:val="20"/>
              </w:rPr>
              <w:t>1140-1169*</w:t>
            </w:r>
          </w:p>
        </w:tc>
        <w:tc>
          <w:tcPr>
            <w:tcW w:w="1440" w:type="dxa"/>
            <w:vAlign w:val="bottom"/>
          </w:tcPr>
          <w:p w14:paraId="05B2CF76"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6811</w:t>
            </w:r>
          </w:p>
        </w:tc>
      </w:tr>
      <w:tr w:rsidR="00D3782C" w:rsidRPr="00F65FD2" w14:paraId="0EF16EB0" w14:textId="77777777" w:rsidTr="00FD12A1">
        <w:trPr>
          <w:trHeight w:val="240"/>
          <w:jc w:val="center"/>
        </w:trPr>
        <w:tc>
          <w:tcPr>
            <w:tcW w:w="2435" w:type="dxa"/>
            <w:vAlign w:val="bottom"/>
          </w:tcPr>
          <w:p w14:paraId="657C9BEA"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Work</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in</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progress</w:t>
            </w:r>
          </w:p>
        </w:tc>
        <w:tc>
          <w:tcPr>
            <w:tcW w:w="4310" w:type="dxa"/>
            <w:vAlign w:val="bottom"/>
          </w:tcPr>
          <w:p w14:paraId="78764947" w14:textId="1C48CE3A"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Sponsored Work in </w:t>
            </w:r>
            <w:proofErr w:type="spellStart"/>
            <w:r w:rsidRPr="00FB717D">
              <w:rPr>
                <w:rFonts w:asciiTheme="minorHAnsi" w:hAnsiTheme="minorHAnsi" w:cstheme="minorHAnsi"/>
                <w:sz w:val="20"/>
                <w:szCs w:val="20"/>
              </w:rPr>
              <w:t>Progress^Equip</w:t>
            </w:r>
            <w:proofErr w:type="spellEnd"/>
            <w:r w:rsidRPr="00FB717D">
              <w:rPr>
                <w:rFonts w:asciiTheme="minorHAnsi" w:hAnsiTheme="minorHAnsi" w:cstheme="minorHAnsi"/>
                <w:sz w:val="20"/>
                <w:szCs w:val="20"/>
              </w:rPr>
              <w:t xml:space="preserve"> </w:t>
            </w:r>
            <w:r w:rsidR="00A52C52">
              <w:rPr>
                <w:rFonts w:asciiTheme="minorHAnsi" w:hAnsiTheme="minorHAnsi" w:cstheme="minorHAnsi"/>
                <w:sz w:val="20"/>
                <w:szCs w:val="20"/>
              </w:rPr>
              <w:t>Capital per PPE Policy</w:t>
            </w:r>
          </w:p>
        </w:tc>
        <w:tc>
          <w:tcPr>
            <w:tcW w:w="1440" w:type="dxa"/>
            <w:vAlign w:val="bottom"/>
          </w:tcPr>
          <w:p w14:paraId="6CE630DC"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w w:val="95"/>
                <w:sz w:val="20"/>
                <w:szCs w:val="20"/>
              </w:rPr>
              <w:t>1140-1169*</w:t>
            </w:r>
          </w:p>
        </w:tc>
        <w:tc>
          <w:tcPr>
            <w:tcW w:w="1440" w:type="dxa"/>
            <w:vAlign w:val="bottom"/>
          </w:tcPr>
          <w:p w14:paraId="55ED62BA"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6812</w:t>
            </w:r>
          </w:p>
        </w:tc>
      </w:tr>
      <w:tr w:rsidR="00D3782C" w:rsidRPr="00F65FD2" w14:paraId="37CC6B28" w14:textId="77777777" w:rsidTr="00FD12A1">
        <w:trPr>
          <w:trHeight w:val="260"/>
          <w:jc w:val="center"/>
        </w:trPr>
        <w:tc>
          <w:tcPr>
            <w:tcW w:w="2435" w:type="dxa"/>
            <w:vAlign w:val="bottom"/>
          </w:tcPr>
          <w:p w14:paraId="5F3005BD"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Scientific Equipment</w:t>
            </w:r>
          </w:p>
        </w:tc>
        <w:tc>
          <w:tcPr>
            <w:tcW w:w="4310" w:type="dxa"/>
            <w:vAlign w:val="bottom"/>
          </w:tcPr>
          <w:p w14:paraId="50591F84" w14:textId="301C3959"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Scientific Equipment, Non-Sponsored^Equip </w:t>
            </w:r>
            <w:r w:rsidR="00A52C52">
              <w:rPr>
                <w:rFonts w:asciiTheme="minorHAnsi" w:hAnsiTheme="minorHAnsi" w:cstheme="minorHAnsi"/>
                <w:sz w:val="20"/>
                <w:szCs w:val="20"/>
              </w:rPr>
              <w:t>Capital per PPE Policy</w:t>
            </w:r>
          </w:p>
        </w:tc>
        <w:tc>
          <w:tcPr>
            <w:tcW w:w="1440" w:type="dxa"/>
            <w:vAlign w:val="bottom"/>
          </w:tcPr>
          <w:p w14:paraId="061AEE76"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1003</w:t>
            </w:r>
          </w:p>
        </w:tc>
        <w:tc>
          <w:tcPr>
            <w:tcW w:w="1440" w:type="dxa"/>
            <w:vAlign w:val="bottom"/>
          </w:tcPr>
          <w:p w14:paraId="523AE0BC"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6813</w:t>
            </w:r>
          </w:p>
        </w:tc>
      </w:tr>
      <w:tr w:rsidR="00D3782C" w:rsidRPr="00F65FD2" w14:paraId="6225BA23" w14:textId="77777777" w:rsidTr="00FD12A1">
        <w:trPr>
          <w:trHeight w:val="240"/>
          <w:jc w:val="center"/>
        </w:trPr>
        <w:tc>
          <w:tcPr>
            <w:tcW w:w="2435" w:type="dxa"/>
            <w:vAlign w:val="bottom"/>
          </w:tcPr>
          <w:p w14:paraId="3837B5B9"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Scientific Equipment</w:t>
            </w:r>
          </w:p>
        </w:tc>
        <w:tc>
          <w:tcPr>
            <w:tcW w:w="4310" w:type="dxa"/>
            <w:vAlign w:val="bottom"/>
          </w:tcPr>
          <w:p w14:paraId="4C434C07" w14:textId="45D0E09A"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Scientific Equipment, </w:t>
            </w:r>
            <w:proofErr w:type="spellStart"/>
            <w:r w:rsidRPr="00FB717D">
              <w:rPr>
                <w:rFonts w:asciiTheme="minorHAnsi" w:hAnsiTheme="minorHAnsi" w:cstheme="minorHAnsi"/>
                <w:sz w:val="20"/>
                <w:szCs w:val="20"/>
              </w:rPr>
              <w:t>Sponsored^Equip</w:t>
            </w:r>
            <w:proofErr w:type="spellEnd"/>
            <w:r w:rsidRPr="00FB717D">
              <w:rPr>
                <w:rFonts w:asciiTheme="minorHAnsi" w:hAnsiTheme="minorHAnsi" w:cstheme="minorHAnsi"/>
                <w:sz w:val="20"/>
                <w:szCs w:val="20"/>
              </w:rPr>
              <w:t xml:space="preserve"> </w:t>
            </w:r>
            <w:r w:rsidR="00A52C52">
              <w:rPr>
                <w:rFonts w:asciiTheme="minorHAnsi" w:hAnsiTheme="minorHAnsi" w:cstheme="minorHAnsi"/>
                <w:sz w:val="20"/>
                <w:szCs w:val="20"/>
              </w:rPr>
              <w:t>Capital per PPE Policy</w:t>
            </w:r>
          </w:p>
        </w:tc>
        <w:tc>
          <w:tcPr>
            <w:tcW w:w="1440" w:type="dxa"/>
            <w:vAlign w:val="bottom"/>
          </w:tcPr>
          <w:p w14:paraId="4CC88FDE"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1003</w:t>
            </w:r>
          </w:p>
        </w:tc>
        <w:tc>
          <w:tcPr>
            <w:tcW w:w="1440" w:type="dxa"/>
            <w:vAlign w:val="bottom"/>
          </w:tcPr>
          <w:p w14:paraId="454423FF" w14:textId="77777777" w:rsidR="00D3782C" w:rsidRPr="00FB717D" w:rsidRDefault="00D3782C" w:rsidP="00FD12A1">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6814</w:t>
            </w:r>
          </w:p>
        </w:tc>
      </w:tr>
      <w:tr w:rsidR="00D3782C" w:rsidRPr="00F65FD2" w14:paraId="30A4B39B" w14:textId="77777777" w:rsidTr="00FD12A1">
        <w:trPr>
          <w:trHeight w:val="260"/>
          <w:jc w:val="center"/>
        </w:trPr>
        <w:tc>
          <w:tcPr>
            <w:tcW w:w="2435" w:type="dxa"/>
            <w:vAlign w:val="bottom"/>
          </w:tcPr>
          <w:p w14:paraId="5C62BC03"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Software</w:t>
            </w:r>
          </w:p>
        </w:tc>
        <w:tc>
          <w:tcPr>
            <w:tcW w:w="4310" w:type="dxa"/>
            <w:vAlign w:val="bottom"/>
          </w:tcPr>
          <w:p w14:paraId="52D39D20" w14:textId="7945428B"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Software, Non-Sponsored^Equip </w:t>
            </w:r>
            <w:r w:rsidR="00A52C52">
              <w:rPr>
                <w:rFonts w:asciiTheme="minorHAnsi" w:hAnsiTheme="minorHAnsi" w:cstheme="minorHAnsi"/>
                <w:sz w:val="20"/>
                <w:szCs w:val="20"/>
              </w:rPr>
              <w:t>Capital per PPE Policy</w:t>
            </w:r>
          </w:p>
        </w:tc>
        <w:tc>
          <w:tcPr>
            <w:tcW w:w="1440" w:type="dxa"/>
            <w:vAlign w:val="bottom"/>
          </w:tcPr>
          <w:p w14:paraId="1B3FACE5"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1032</w:t>
            </w:r>
          </w:p>
        </w:tc>
        <w:tc>
          <w:tcPr>
            <w:tcW w:w="1440" w:type="dxa"/>
            <w:vAlign w:val="bottom"/>
          </w:tcPr>
          <w:p w14:paraId="74D87F9E"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6815</w:t>
            </w:r>
          </w:p>
        </w:tc>
      </w:tr>
      <w:tr w:rsidR="00D3782C" w:rsidRPr="00F65FD2" w14:paraId="5F3706C8" w14:textId="77777777" w:rsidTr="00FD12A1">
        <w:trPr>
          <w:trHeight w:val="260"/>
          <w:jc w:val="center"/>
        </w:trPr>
        <w:tc>
          <w:tcPr>
            <w:tcW w:w="2435" w:type="dxa"/>
            <w:vAlign w:val="bottom"/>
          </w:tcPr>
          <w:p w14:paraId="398B07AB"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Software</w:t>
            </w:r>
          </w:p>
        </w:tc>
        <w:tc>
          <w:tcPr>
            <w:tcW w:w="4310" w:type="dxa"/>
            <w:vAlign w:val="bottom"/>
          </w:tcPr>
          <w:p w14:paraId="25B1F41A" w14:textId="7116BD16"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Software, Sponsored ^Equip </w:t>
            </w:r>
            <w:r w:rsidR="004B12E6">
              <w:rPr>
                <w:rFonts w:asciiTheme="minorHAnsi" w:hAnsiTheme="minorHAnsi" w:cstheme="minorHAnsi"/>
                <w:sz w:val="20"/>
                <w:szCs w:val="20"/>
              </w:rPr>
              <w:t>Capital per PPE Policy</w:t>
            </w:r>
          </w:p>
        </w:tc>
        <w:tc>
          <w:tcPr>
            <w:tcW w:w="1440" w:type="dxa"/>
            <w:vAlign w:val="bottom"/>
          </w:tcPr>
          <w:p w14:paraId="36EE6023"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1032</w:t>
            </w:r>
          </w:p>
        </w:tc>
        <w:tc>
          <w:tcPr>
            <w:tcW w:w="1440" w:type="dxa"/>
            <w:vAlign w:val="bottom"/>
          </w:tcPr>
          <w:p w14:paraId="71EAFE9F"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6816</w:t>
            </w:r>
          </w:p>
        </w:tc>
      </w:tr>
      <w:tr w:rsidR="00D3782C" w:rsidRPr="00F65FD2" w14:paraId="77B051FD" w14:textId="77777777" w:rsidTr="00FD12A1">
        <w:trPr>
          <w:trHeight w:val="260"/>
          <w:jc w:val="center"/>
        </w:trPr>
        <w:tc>
          <w:tcPr>
            <w:tcW w:w="2435" w:type="dxa"/>
            <w:vAlign w:val="bottom"/>
          </w:tcPr>
          <w:p w14:paraId="5D0C0B95"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Fixed Equipment</w:t>
            </w:r>
          </w:p>
        </w:tc>
        <w:tc>
          <w:tcPr>
            <w:tcW w:w="4310" w:type="dxa"/>
            <w:vAlign w:val="bottom"/>
          </w:tcPr>
          <w:p w14:paraId="322546AB" w14:textId="77777777" w:rsidR="00D3782C" w:rsidRPr="00CE14A1" w:rsidRDefault="00D3782C" w:rsidP="00FD12A1">
            <w:pPr>
              <w:pStyle w:val="TableParagraph"/>
              <w:spacing w:before="15" w:line="225" w:lineRule="exact"/>
              <w:ind w:left="102"/>
              <w:rPr>
                <w:rFonts w:asciiTheme="minorHAnsi" w:hAnsiTheme="minorHAnsi" w:cstheme="minorHAnsi"/>
                <w:sz w:val="20"/>
                <w:szCs w:val="20"/>
              </w:rPr>
            </w:pPr>
            <w:r w:rsidRPr="00CE14A1">
              <w:rPr>
                <w:rFonts w:asciiTheme="minorHAnsi" w:hAnsiTheme="minorHAnsi" w:cstheme="minorHAnsi"/>
                <w:sz w:val="20"/>
                <w:szCs w:val="20"/>
              </w:rPr>
              <w:t>Fixed Equipment, Non-Sponsored &gt;= 100,000</w:t>
            </w:r>
          </w:p>
        </w:tc>
        <w:tc>
          <w:tcPr>
            <w:tcW w:w="1440" w:type="dxa"/>
            <w:vAlign w:val="bottom"/>
          </w:tcPr>
          <w:p w14:paraId="5B14EB68" w14:textId="77777777" w:rsidR="00D3782C" w:rsidRPr="00CE14A1" w:rsidRDefault="00D3782C" w:rsidP="00FD12A1">
            <w:pPr>
              <w:pStyle w:val="TableParagraph"/>
              <w:spacing w:before="15" w:line="225" w:lineRule="exact"/>
              <w:ind w:left="102"/>
              <w:rPr>
                <w:rFonts w:asciiTheme="minorHAnsi" w:hAnsiTheme="minorHAnsi" w:cstheme="minorHAnsi"/>
                <w:sz w:val="20"/>
                <w:szCs w:val="20"/>
              </w:rPr>
            </w:pPr>
            <w:r w:rsidRPr="00CE14A1">
              <w:rPr>
                <w:rFonts w:asciiTheme="minorHAnsi" w:hAnsiTheme="minorHAnsi" w:cstheme="minorHAnsi"/>
                <w:sz w:val="20"/>
                <w:szCs w:val="20"/>
              </w:rPr>
              <w:t>1000</w:t>
            </w:r>
          </w:p>
        </w:tc>
        <w:tc>
          <w:tcPr>
            <w:tcW w:w="1440" w:type="dxa"/>
            <w:vAlign w:val="bottom"/>
          </w:tcPr>
          <w:p w14:paraId="4C97D417" w14:textId="77777777" w:rsidR="00D3782C" w:rsidRPr="00CE14A1" w:rsidRDefault="00D3782C" w:rsidP="00FD12A1">
            <w:pPr>
              <w:pStyle w:val="TableParagraph"/>
              <w:spacing w:before="15" w:line="225" w:lineRule="exact"/>
              <w:ind w:left="102"/>
              <w:rPr>
                <w:rFonts w:asciiTheme="minorHAnsi" w:hAnsiTheme="minorHAnsi" w:cstheme="minorHAnsi"/>
                <w:sz w:val="20"/>
                <w:szCs w:val="20"/>
              </w:rPr>
            </w:pPr>
            <w:r w:rsidRPr="00CE14A1">
              <w:rPr>
                <w:rFonts w:asciiTheme="minorHAnsi" w:hAnsiTheme="minorHAnsi" w:cstheme="minorHAnsi"/>
                <w:sz w:val="20"/>
                <w:szCs w:val="20"/>
              </w:rPr>
              <w:t>6817</w:t>
            </w:r>
          </w:p>
        </w:tc>
      </w:tr>
      <w:tr w:rsidR="00D3782C" w:rsidRPr="00F65FD2" w14:paraId="2AA5D175" w14:textId="77777777" w:rsidTr="00FD12A1">
        <w:trPr>
          <w:trHeight w:val="260"/>
          <w:jc w:val="center"/>
        </w:trPr>
        <w:tc>
          <w:tcPr>
            <w:tcW w:w="2435" w:type="dxa"/>
            <w:vAlign w:val="bottom"/>
          </w:tcPr>
          <w:p w14:paraId="42465CBB"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Buildings</w:t>
            </w:r>
            <w:r w:rsidRPr="00FB717D">
              <w:rPr>
                <w:rFonts w:asciiTheme="minorHAnsi" w:hAnsiTheme="minorHAnsi" w:cstheme="minorHAnsi"/>
                <w:spacing w:val="-6"/>
                <w:sz w:val="20"/>
                <w:szCs w:val="20"/>
              </w:rPr>
              <w:t xml:space="preserve"> </w:t>
            </w:r>
            <w:r w:rsidRPr="00FB717D">
              <w:rPr>
                <w:rFonts w:asciiTheme="minorHAnsi" w:hAnsiTheme="minorHAnsi" w:cstheme="minorHAnsi"/>
                <w:sz w:val="20"/>
                <w:szCs w:val="20"/>
              </w:rPr>
              <w:t>(including</w:t>
            </w:r>
            <w:r w:rsidRPr="00FB717D">
              <w:rPr>
                <w:rFonts w:asciiTheme="minorHAnsi" w:hAnsiTheme="minorHAnsi" w:cstheme="minorHAnsi"/>
                <w:spacing w:val="-5"/>
                <w:sz w:val="20"/>
                <w:szCs w:val="20"/>
              </w:rPr>
              <w:t xml:space="preserve"> </w:t>
            </w:r>
            <w:r w:rsidRPr="00FB717D">
              <w:rPr>
                <w:rFonts w:asciiTheme="minorHAnsi" w:hAnsiTheme="minorHAnsi" w:cstheme="minorHAnsi"/>
                <w:sz w:val="20"/>
                <w:szCs w:val="20"/>
              </w:rPr>
              <w:t>improvements)</w:t>
            </w:r>
          </w:p>
        </w:tc>
        <w:tc>
          <w:tcPr>
            <w:tcW w:w="4310" w:type="dxa"/>
            <w:vAlign w:val="bottom"/>
          </w:tcPr>
          <w:p w14:paraId="20605BA9" w14:textId="77777777" w:rsidR="00D3782C" w:rsidRPr="00FB717D" w:rsidRDefault="00D3782C" w:rsidP="00FD12A1">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2BA92130"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1200-1219</w:t>
            </w:r>
          </w:p>
        </w:tc>
        <w:tc>
          <w:tcPr>
            <w:tcW w:w="1440" w:type="dxa"/>
            <w:vAlign w:val="bottom"/>
          </w:tcPr>
          <w:p w14:paraId="126AEA29"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r w:rsidR="00D3782C" w:rsidRPr="00F65FD2" w14:paraId="094DC917" w14:textId="77777777" w:rsidTr="00FD12A1">
        <w:trPr>
          <w:trHeight w:val="260"/>
          <w:jc w:val="center"/>
        </w:trPr>
        <w:tc>
          <w:tcPr>
            <w:tcW w:w="2435" w:type="dxa"/>
            <w:vAlign w:val="bottom"/>
          </w:tcPr>
          <w:p w14:paraId="36612F93"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Land</w:t>
            </w:r>
            <w:r w:rsidRPr="00FB717D">
              <w:rPr>
                <w:rFonts w:asciiTheme="minorHAnsi" w:hAnsiTheme="minorHAnsi" w:cstheme="minorHAnsi"/>
                <w:spacing w:val="-1"/>
                <w:sz w:val="20"/>
                <w:szCs w:val="20"/>
              </w:rPr>
              <w:t xml:space="preserve"> </w:t>
            </w:r>
            <w:r w:rsidRPr="00FB717D">
              <w:rPr>
                <w:rFonts w:asciiTheme="minorHAnsi" w:hAnsiTheme="minorHAnsi" w:cstheme="minorHAnsi"/>
                <w:sz w:val="20"/>
                <w:szCs w:val="20"/>
              </w:rPr>
              <w:t>(including</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improvements)</w:t>
            </w:r>
          </w:p>
        </w:tc>
        <w:tc>
          <w:tcPr>
            <w:tcW w:w="4310" w:type="dxa"/>
            <w:vAlign w:val="bottom"/>
          </w:tcPr>
          <w:p w14:paraId="496AEB79" w14:textId="77777777" w:rsidR="00D3782C" w:rsidRPr="00FB717D" w:rsidRDefault="00D3782C" w:rsidP="00FD12A1">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25D86F54"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1230-1239</w:t>
            </w:r>
          </w:p>
        </w:tc>
        <w:tc>
          <w:tcPr>
            <w:tcW w:w="1440" w:type="dxa"/>
            <w:vAlign w:val="bottom"/>
          </w:tcPr>
          <w:p w14:paraId="7B33B258"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r w:rsidR="00D3782C" w:rsidRPr="00F65FD2" w14:paraId="281C8071" w14:textId="77777777" w:rsidTr="00FD12A1">
        <w:trPr>
          <w:trHeight w:val="260"/>
          <w:jc w:val="center"/>
        </w:trPr>
        <w:tc>
          <w:tcPr>
            <w:tcW w:w="2435" w:type="dxa"/>
            <w:vAlign w:val="bottom"/>
          </w:tcPr>
          <w:p w14:paraId="08283939"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Capital</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leasehold</w:t>
            </w:r>
            <w:r w:rsidRPr="00FB717D">
              <w:rPr>
                <w:rFonts w:asciiTheme="minorHAnsi" w:hAnsiTheme="minorHAnsi" w:cstheme="minorHAnsi"/>
                <w:spacing w:val="-1"/>
                <w:sz w:val="20"/>
                <w:szCs w:val="20"/>
              </w:rPr>
              <w:t xml:space="preserve"> </w:t>
            </w:r>
            <w:r w:rsidRPr="00FB717D">
              <w:rPr>
                <w:rFonts w:asciiTheme="minorHAnsi" w:hAnsiTheme="minorHAnsi" w:cstheme="minorHAnsi"/>
                <w:sz w:val="20"/>
                <w:szCs w:val="20"/>
              </w:rPr>
              <w:t>improvements</w:t>
            </w:r>
          </w:p>
        </w:tc>
        <w:tc>
          <w:tcPr>
            <w:tcW w:w="4310" w:type="dxa"/>
            <w:vAlign w:val="bottom"/>
          </w:tcPr>
          <w:p w14:paraId="0A27E639" w14:textId="77777777" w:rsidR="00D3782C" w:rsidRPr="00FB717D" w:rsidRDefault="00D3782C" w:rsidP="00FD12A1">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37B7DA1F"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1240-1249</w:t>
            </w:r>
          </w:p>
        </w:tc>
        <w:tc>
          <w:tcPr>
            <w:tcW w:w="1440" w:type="dxa"/>
            <w:vAlign w:val="bottom"/>
          </w:tcPr>
          <w:p w14:paraId="2337A0B2"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r w:rsidR="00D3782C" w:rsidRPr="00F65FD2" w14:paraId="4BEA11F5" w14:textId="77777777" w:rsidTr="00FD12A1">
        <w:trPr>
          <w:trHeight w:val="260"/>
          <w:jc w:val="center"/>
        </w:trPr>
        <w:tc>
          <w:tcPr>
            <w:tcW w:w="2435" w:type="dxa"/>
            <w:vAlign w:val="bottom"/>
          </w:tcPr>
          <w:p w14:paraId="6878363B"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CIP-facilities</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construction</w:t>
            </w:r>
          </w:p>
        </w:tc>
        <w:tc>
          <w:tcPr>
            <w:tcW w:w="4310" w:type="dxa"/>
            <w:vAlign w:val="bottom"/>
          </w:tcPr>
          <w:p w14:paraId="66C564B3" w14:textId="77777777" w:rsidR="00D3782C" w:rsidRPr="00FB717D" w:rsidRDefault="00D3782C" w:rsidP="00FD12A1">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3DB51D1D"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1250-1399</w:t>
            </w:r>
          </w:p>
        </w:tc>
        <w:tc>
          <w:tcPr>
            <w:tcW w:w="1440" w:type="dxa"/>
            <w:vAlign w:val="bottom"/>
          </w:tcPr>
          <w:p w14:paraId="682AC590"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r w:rsidR="00D3782C" w:rsidRPr="00F65FD2" w14:paraId="4C264992" w14:textId="77777777" w:rsidTr="00FD12A1">
        <w:trPr>
          <w:trHeight w:val="260"/>
          <w:jc w:val="center"/>
        </w:trPr>
        <w:tc>
          <w:tcPr>
            <w:tcW w:w="2435" w:type="dxa"/>
            <w:vAlign w:val="bottom"/>
          </w:tcPr>
          <w:p w14:paraId="6DBFCC60"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CIP-land +</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buildings</w:t>
            </w:r>
          </w:p>
        </w:tc>
        <w:tc>
          <w:tcPr>
            <w:tcW w:w="4310" w:type="dxa"/>
            <w:vAlign w:val="bottom"/>
          </w:tcPr>
          <w:p w14:paraId="7210800C" w14:textId="77777777" w:rsidR="00D3782C" w:rsidRPr="00FB717D" w:rsidRDefault="00D3782C" w:rsidP="00FD12A1">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7E0D5241"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1400-1409</w:t>
            </w:r>
          </w:p>
        </w:tc>
        <w:tc>
          <w:tcPr>
            <w:tcW w:w="1440" w:type="dxa"/>
            <w:vAlign w:val="bottom"/>
          </w:tcPr>
          <w:p w14:paraId="6019783B"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r w:rsidR="00D3782C" w:rsidRPr="00F65FD2" w14:paraId="1E10A854" w14:textId="77777777" w:rsidTr="00FD12A1">
        <w:trPr>
          <w:trHeight w:val="260"/>
          <w:jc w:val="center"/>
        </w:trPr>
        <w:tc>
          <w:tcPr>
            <w:tcW w:w="2435" w:type="dxa"/>
            <w:vAlign w:val="bottom"/>
          </w:tcPr>
          <w:p w14:paraId="73E15395"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CIP-moveable furnishings</w:t>
            </w:r>
            <w:r w:rsidRPr="00FB717D">
              <w:rPr>
                <w:rFonts w:asciiTheme="minorHAnsi" w:hAnsiTheme="minorHAnsi" w:cstheme="minorHAnsi"/>
                <w:spacing w:val="-8"/>
                <w:sz w:val="20"/>
                <w:szCs w:val="20"/>
              </w:rPr>
              <w:t xml:space="preserve"> </w:t>
            </w:r>
            <w:r w:rsidRPr="00FB717D">
              <w:rPr>
                <w:rFonts w:asciiTheme="minorHAnsi" w:hAnsiTheme="minorHAnsi" w:cstheme="minorHAnsi"/>
                <w:sz w:val="20"/>
                <w:szCs w:val="20"/>
              </w:rPr>
              <w:t>+</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equipment</w:t>
            </w:r>
          </w:p>
        </w:tc>
        <w:tc>
          <w:tcPr>
            <w:tcW w:w="4310" w:type="dxa"/>
            <w:vAlign w:val="bottom"/>
          </w:tcPr>
          <w:p w14:paraId="26506A66" w14:textId="77777777" w:rsidR="00D3782C" w:rsidRPr="00FB717D" w:rsidRDefault="00D3782C" w:rsidP="00FD12A1">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760E9ADA"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1410-1419</w:t>
            </w:r>
          </w:p>
        </w:tc>
        <w:tc>
          <w:tcPr>
            <w:tcW w:w="1440" w:type="dxa"/>
            <w:vAlign w:val="bottom"/>
          </w:tcPr>
          <w:p w14:paraId="29578832"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r w:rsidR="00D3782C" w:rsidRPr="00F65FD2" w14:paraId="6562C3B2" w14:textId="77777777" w:rsidTr="00FD12A1">
        <w:trPr>
          <w:trHeight w:val="260"/>
          <w:jc w:val="center"/>
        </w:trPr>
        <w:tc>
          <w:tcPr>
            <w:tcW w:w="2435" w:type="dxa"/>
            <w:vAlign w:val="bottom"/>
          </w:tcPr>
          <w:p w14:paraId="001660E8"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CIP-other</w:t>
            </w:r>
            <w:r w:rsidRPr="00FB717D">
              <w:rPr>
                <w:rFonts w:asciiTheme="minorHAnsi" w:hAnsiTheme="minorHAnsi" w:cstheme="minorHAnsi"/>
                <w:spacing w:val="-1"/>
                <w:sz w:val="20"/>
                <w:szCs w:val="20"/>
              </w:rPr>
              <w:t xml:space="preserve"> </w:t>
            </w:r>
            <w:r w:rsidRPr="00FB717D">
              <w:rPr>
                <w:rFonts w:asciiTheme="minorHAnsi" w:hAnsiTheme="minorHAnsi" w:cstheme="minorHAnsi"/>
                <w:sz w:val="20"/>
                <w:szCs w:val="20"/>
              </w:rPr>
              <w:t>costs</w:t>
            </w:r>
          </w:p>
        </w:tc>
        <w:tc>
          <w:tcPr>
            <w:tcW w:w="4310" w:type="dxa"/>
            <w:vAlign w:val="bottom"/>
          </w:tcPr>
          <w:p w14:paraId="75905535" w14:textId="77777777" w:rsidR="00D3782C" w:rsidRPr="00FB717D" w:rsidRDefault="00D3782C" w:rsidP="00FD12A1">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3D21C38C"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1420-1588</w:t>
            </w:r>
          </w:p>
        </w:tc>
        <w:tc>
          <w:tcPr>
            <w:tcW w:w="1440" w:type="dxa"/>
            <w:vAlign w:val="bottom"/>
          </w:tcPr>
          <w:p w14:paraId="5357ABB3"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r w:rsidR="00D3782C" w:rsidRPr="00F65FD2" w14:paraId="62E33CB9" w14:textId="77777777" w:rsidTr="00FD12A1">
        <w:trPr>
          <w:trHeight w:val="260"/>
          <w:jc w:val="center"/>
        </w:trPr>
        <w:tc>
          <w:tcPr>
            <w:tcW w:w="2435" w:type="dxa"/>
            <w:vAlign w:val="bottom"/>
          </w:tcPr>
          <w:p w14:paraId="18FA836B"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CIP-Interest</w:t>
            </w:r>
          </w:p>
        </w:tc>
        <w:tc>
          <w:tcPr>
            <w:tcW w:w="4310" w:type="dxa"/>
            <w:vAlign w:val="bottom"/>
          </w:tcPr>
          <w:p w14:paraId="5D906E18" w14:textId="77777777" w:rsidR="00D3782C" w:rsidRPr="00FB717D" w:rsidRDefault="00D3782C" w:rsidP="00FD12A1">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08DC80D7"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1590-1599</w:t>
            </w:r>
          </w:p>
        </w:tc>
        <w:tc>
          <w:tcPr>
            <w:tcW w:w="1440" w:type="dxa"/>
            <w:vAlign w:val="bottom"/>
          </w:tcPr>
          <w:p w14:paraId="0E475DB9" w14:textId="77777777" w:rsidR="00D3782C" w:rsidRPr="00FB717D" w:rsidRDefault="00D3782C" w:rsidP="00FD12A1">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bl>
    <w:p w14:paraId="429D8017" w14:textId="77777777" w:rsidR="00D3782C" w:rsidRDefault="00D3782C" w:rsidP="00D3782C">
      <w:r w:rsidRPr="00FB717D">
        <w:t xml:space="preserve">* N/A – </w:t>
      </w:r>
      <w:r w:rsidRPr="00294D51">
        <w:t>These costs must go through C</w:t>
      </w:r>
      <w:r>
        <w:t>PATH</w:t>
      </w:r>
      <w:r w:rsidRPr="00294D51">
        <w:t>; they are not coded to the 68xx object code range</w:t>
      </w:r>
      <w:r>
        <w:t xml:space="preserve">. </w:t>
      </w:r>
      <w:r w:rsidRPr="00294D51">
        <w:t>Acquisitions of buildings and land do not go through the C</w:t>
      </w:r>
      <w:r>
        <w:t>PATH</w:t>
      </w:r>
      <w:r w:rsidRPr="00294D51">
        <w:t xml:space="preserve"> system but should be identified in school and unit capital plans.</w:t>
      </w:r>
    </w:p>
    <w:p w14:paraId="6FD07313" w14:textId="79724483" w:rsidR="00D3782C" w:rsidRPr="00FB717D" w:rsidRDefault="00D3782C" w:rsidP="00D3782C">
      <w:r w:rsidRPr="1356102F">
        <w:rPr>
          <w:u w:val="single"/>
        </w:rPr>
        <w:lastRenderedPageBreak/>
        <w:t>Costs cannot be capitalized</w:t>
      </w:r>
      <w:r>
        <w:t xml:space="preserve"> for individual items (that are not part of multicomponent equipment) </w:t>
      </w:r>
      <w:r w:rsidR="00557C62">
        <w:t>that do not meet or exceed the applicable capitalization threshold</w:t>
      </w:r>
      <w:r>
        <w:t xml:space="preserve">, even if the total purchase (invoice) exceeds </w:t>
      </w:r>
      <w:r w:rsidR="00557C62">
        <w:t>the</w:t>
      </w:r>
      <w:r w:rsidR="7B6CC6E2">
        <w:t xml:space="preserve"> capitalization</w:t>
      </w:r>
      <w:r w:rsidR="00557C62">
        <w:t xml:space="preserve"> threshold</w:t>
      </w:r>
      <w:r>
        <w:t xml:space="preserve">. When this occurs, a separate set of object codes ranging from 6710-6789 must be used to capture these expenses. </w:t>
      </w:r>
    </w:p>
    <w:p w14:paraId="2ADBA042" w14:textId="2ED9B42A" w:rsidR="00D3782C" w:rsidRPr="00FB717D" w:rsidRDefault="00D3782C" w:rsidP="00D3782C">
      <w:r w:rsidRPr="00FB717D">
        <w:t xml:space="preserve">Component parts of one piece of equipment (e.g., a CPU, computer monitor, keyboard, mouse, etc.), if purchased at the same time, must be accumulated and capitalized if, in total, the cost </w:t>
      </w:r>
      <w:r w:rsidR="00D3157A">
        <w:t>meets or exceeds the applicable capitalization threshold</w:t>
      </w:r>
      <w:r w:rsidRPr="00FB717D">
        <w:t>.</w:t>
      </w:r>
    </w:p>
    <w:p w14:paraId="469FBD4C" w14:textId="77777777" w:rsidR="00D3782C" w:rsidRPr="00FB717D" w:rsidRDefault="00D3782C" w:rsidP="00D3782C">
      <w:pPr>
        <w:pStyle w:val="LevelI"/>
      </w:pPr>
      <w:r w:rsidRPr="003D7DF1">
        <w:t xml:space="preserve">What </w:t>
      </w:r>
      <w:r w:rsidRPr="009470FB">
        <w:t>C</w:t>
      </w:r>
      <w:r w:rsidRPr="003F4C6B">
        <w:t>osts to C</w:t>
      </w:r>
      <w:r w:rsidRPr="004417B7">
        <w:t>apitalize versus E</w:t>
      </w:r>
      <w:r w:rsidRPr="00FB717D">
        <w:t>xpense</w:t>
      </w:r>
    </w:p>
    <w:p w14:paraId="792DE4B9" w14:textId="77777777" w:rsidR="00D3782C" w:rsidRDefault="00D3782C" w:rsidP="00D3782C">
      <w:pPr>
        <w:pStyle w:val="BodyText"/>
        <w:spacing w:before="5"/>
        <w:ind w:left="540"/>
        <w:rPr>
          <w:rFonts w:asciiTheme="minorHAnsi" w:hAnsiTheme="minorHAnsi" w:cstheme="minorHAnsi"/>
          <w:sz w:val="22"/>
          <w:szCs w:val="22"/>
        </w:rPr>
      </w:pPr>
      <w:r w:rsidRPr="007B577D">
        <w:rPr>
          <w:rFonts w:asciiTheme="minorHAnsi" w:hAnsiTheme="minorHAnsi" w:cstheme="minorHAnsi"/>
          <w:sz w:val="22"/>
          <w:szCs w:val="22"/>
        </w:rPr>
        <w:t>When acquiring land, land improvements, buildings, buildings improvement, and equipment, all significant expenditures that are necessary to obtain and prepare the asset for its intended use are generally capitalized, if they meet the capitalization guidelines outlined below. The capitalization guidelines differ for each type of asset.</w:t>
      </w:r>
    </w:p>
    <w:p w14:paraId="70AC7E6C" w14:textId="77777777" w:rsidR="00D3782C" w:rsidRPr="005B3E7F" w:rsidRDefault="00D3782C" w:rsidP="00D3782C">
      <w:pPr>
        <w:pStyle w:val="BodyText"/>
        <w:spacing w:before="5"/>
        <w:ind w:left="540"/>
        <w:rPr>
          <w:rFonts w:asciiTheme="minorHAnsi" w:hAnsiTheme="minorHAnsi" w:cstheme="minorHAnsi"/>
          <w:sz w:val="12"/>
          <w:szCs w:val="12"/>
        </w:rPr>
      </w:pPr>
    </w:p>
    <w:p w14:paraId="247AE0C2" w14:textId="77777777" w:rsidR="00D3782C" w:rsidRPr="00FB717D" w:rsidRDefault="00D3782C" w:rsidP="00E12136">
      <w:pPr>
        <w:pStyle w:val="LevelA0"/>
        <w:numPr>
          <w:ilvl w:val="0"/>
          <w:numId w:val="24"/>
        </w:numPr>
      </w:pPr>
      <w:r w:rsidRPr="00FB717D">
        <w:t>Land</w:t>
      </w:r>
    </w:p>
    <w:p w14:paraId="190D3F22" w14:textId="77777777" w:rsidR="00D3782C" w:rsidRPr="00FB717D" w:rsidRDefault="00D3782C" w:rsidP="00D3782C">
      <w:pPr>
        <w:ind w:left="720"/>
      </w:pPr>
      <w:r w:rsidRPr="00FB717D">
        <w:t xml:space="preserve">The following expenditures may be capitalized </w:t>
      </w:r>
      <w:proofErr w:type="gramStart"/>
      <w:r w:rsidRPr="00FB717D">
        <w:t>to</w:t>
      </w:r>
      <w:proofErr w:type="gramEnd"/>
      <w:r w:rsidRPr="00FB717D">
        <w:t xml:space="preserve"> the cost of land:</w:t>
      </w:r>
    </w:p>
    <w:p w14:paraId="2C3BA7DC" w14:textId="77777777" w:rsidR="00D3782C" w:rsidRPr="002D7110" w:rsidRDefault="00D3782C" w:rsidP="00D3782C">
      <w:pPr>
        <w:pStyle w:val="ListParagraph"/>
        <w:numPr>
          <w:ilvl w:val="0"/>
          <w:numId w:val="25"/>
        </w:numPr>
      </w:pPr>
      <w:r w:rsidRPr="002D7110">
        <w:t>The original acquisition</w:t>
      </w:r>
      <w:r w:rsidRPr="002D7110">
        <w:rPr>
          <w:spacing w:val="-17"/>
        </w:rPr>
        <w:t xml:space="preserve"> </w:t>
      </w:r>
      <w:r w:rsidRPr="002D7110">
        <w:t>price</w:t>
      </w:r>
    </w:p>
    <w:p w14:paraId="07A378B8" w14:textId="77777777" w:rsidR="00D3782C" w:rsidRPr="002D7110" w:rsidRDefault="00D3782C" w:rsidP="00D3782C">
      <w:pPr>
        <w:pStyle w:val="ListParagraph"/>
        <w:numPr>
          <w:ilvl w:val="0"/>
          <w:numId w:val="25"/>
        </w:numPr>
      </w:pPr>
      <w:r w:rsidRPr="002D7110">
        <w:t>Commissions related to the</w:t>
      </w:r>
      <w:r w:rsidRPr="002D7110">
        <w:rPr>
          <w:spacing w:val="-23"/>
        </w:rPr>
        <w:t xml:space="preserve"> </w:t>
      </w:r>
      <w:r w:rsidRPr="002D7110">
        <w:t>acquisition</w:t>
      </w:r>
    </w:p>
    <w:p w14:paraId="255ADD7F" w14:textId="77777777" w:rsidR="00D3782C" w:rsidRPr="002D7110" w:rsidRDefault="00D3782C" w:rsidP="00D3782C">
      <w:pPr>
        <w:pStyle w:val="ListParagraph"/>
        <w:numPr>
          <w:ilvl w:val="0"/>
          <w:numId w:val="25"/>
        </w:numPr>
      </w:pPr>
      <w:r w:rsidRPr="002D7110">
        <w:t xml:space="preserve">Legal fees related to </w:t>
      </w:r>
      <w:proofErr w:type="gramStart"/>
      <w:r w:rsidRPr="002D7110">
        <w:t>the</w:t>
      </w:r>
      <w:r w:rsidRPr="002D7110">
        <w:rPr>
          <w:spacing w:val="-18"/>
        </w:rPr>
        <w:t xml:space="preserve"> </w:t>
      </w:r>
      <w:r w:rsidRPr="002D7110">
        <w:t>acquisition</w:t>
      </w:r>
      <w:proofErr w:type="gramEnd"/>
    </w:p>
    <w:p w14:paraId="29F022E3" w14:textId="77777777" w:rsidR="00D3782C" w:rsidRPr="002D7110" w:rsidRDefault="00D3782C" w:rsidP="00D3782C">
      <w:pPr>
        <w:pStyle w:val="ListParagraph"/>
        <w:numPr>
          <w:ilvl w:val="0"/>
          <w:numId w:val="25"/>
        </w:numPr>
      </w:pPr>
      <w:r w:rsidRPr="002D7110">
        <w:t>Costs of</w:t>
      </w:r>
      <w:r w:rsidRPr="002D7110">
        <w:rPr>
          <w:spacing w:val="-10"/>
        </w:rPr>
        <w:t xml:space="preserve"> </w:t>
      </w:r>
      <w:r w:rsidRPr="002D7110">
        <w:t>surveys</w:t>
      </w:r>
    </w:p>
    <w:p w14:paraId="7C771875" w14:textId="77777777" w:rsidR="00D3782C" w:rsidRPr="002D7110" w:rsidRDefault="00D3782C" w:rsidP="00D3782C">
      <w:pPr>
        <w:pStyle w:val="ListParagraph"/>
        <w:numPr>
          <w:ilvl w:val="0"/>
          <w:numId w:val="25"/>
        </w:numPr>
      </w:pPr>
      <w:r w:rsidRPr="002D7110">
        <w:t>Costs of removing unwanted buildings that were present prior to the purchase from the land, less any proceeds from</w:t>
      </w:r>
      <w:r w:rsidRPr="002D7110">
        <w:rPr>
          <w:spacing w:val="-10"/>
        </w:rPr>
        <w:t xml:space="preserve"> </w:t>
      </w:r>
      <w:r w:rsidRPr="002D7110">
        <w:t>salvage, and that were intended to remove at the time of purchase.</w:t>
      </w:r>
    </w:p>
    <w:p w14:paraId="7FF230F8" w14:textId="77777777" w:rsidR="00D3782C" w:rsidRPr="002D7110" w:rsidRDefault="00D3782C" w:rsidP="00D3782C">
      <w:pPr>
        <w:pStyle w:val="ListParagraph"/>
        <w:numPr>
          <w:ilvl w:val="0"/>
          <w:numId w:val="25"/>
        </w:numPr>
      </w:pPr>
      <w:r w:rsidRPr="002D7110">
        <w:t>Costs of permanent improvements (e.g., replacing contaminated</w:t>
      </w:r>
      <w:r w:rsidRPr="002D7110">
        <w:rPr>
          <w:spacing w:val="-29"/>
        </w:rPr>
        <w:t xml:space="preserve"> </w:t>
      </w:r>
      <w:r w:rsidRPr="002D7110">
        <w:t>soil)</w:t>
      </w:r>
    </w:p>
    <w:p w14:paraId="094D8CAA" w14:textId="77777777" w:rsidR="00D3782C" w:rsidRPr="00FB717D" w:rsidRDefault="00D3782C" w:rsidP="00D3782C">
      <w:pPr>
        <w:ind w:left="720"/>
      </w:pPr>
      <w:r w:rsidRPr="00FB717D">
        <w:t>A listing of typical costs associated with the purchase of land and their capitalization versus expense treatment are p</w:t>
      </w:r>
      <w:r w:rsidRPr="00227494">
        <w:t xml:space="preserve">resented in the </w:t>
      </w:r>
      <w:hyperlink w:anchor="CapitalizatonLandPurchase" w:history="1">
        <w:r w:rsidRPr="00227494">
          <w:rPr>
            <w:rStyle w:val="Hyperlink"/>
            <w:rFonts w:cstheme="minorHAnsi"/>
          </w:rPr>
          <w:t>charts</w:t>
        </w:r>
      </w:hyperlink>
      <w:r w:rsidRPr="00227494">
        <w:t xml:space="preserve"> that follow.</w:t>
      </w:r>
    </w:p>
    <w:p w14:paraId="7F19FEE4" w14:textId="77777777" w:rsidR="00D3782C" w:rsidRDefault="00D3782C" w:rsidP="00E12136">
      <w:pPr>
        <w:pStyle w:val="LevelA0"/>
      </w:pPr>
      <w:r w:rsidRPr="00FB717D">
        <w:t>Land Improvements</w:t>
      </w:r>
    </w:p>
    <w:p w14:paraId="23546651" w14:textId="77777777" w:rsidR="00D3782C" w:rsidRPr="00FB717D" w:rsidRDefault="00D3782C" w:rsidP="00D3782C">
      <w:pPr>
        <w:ind w:left="720"/>
      </w:pPr>
      <w:r w:rsidRPr="00FB717D">
        <w:t>Expenditures for land improvements that have limited lives are capitalized separately from the land and depreciated over their expected useful lives.</w:t>
      </w:r>
    </w:p>
    <w:p w14:paraId="77E60412" w14:textId="77777777" w:rsidR="00D3782C" w:rsidRPr="00FB717D" w:rsidRDefault="00D3782C" w:rsidP="00D3782C">
      <w:pPr>
        <w:ind w:left="720"/>
      </w:pPr>
      <w:r w:rsidRPr="00FB717D">
        <w:t>The following expenditures may be capitalized as land improvements if total project costs $100,000 or more:</w:t>
      </w:r>
    </w:p>
    <w:p w14:paraId="4E370DCA" w14:textId="77777777" w:rsidR="00D3782C" w:rsidRPr="00815C9D" w:rsidRDefault="00D3782C" w:rsidP="00D3782C">
      <w:pPr>
        <w:pStyle w:val="ListParagraph"/>
        <w:numPr>
          <w:ilvl w:val="0"/>
          <w:numId w:val="26"/>
        </w:numPr>
      </w:pPr>
      <w:r w:rsidRPr="00815C9D">
        <w:t>Private</w:t>
      </w:r>
      <w:r w:rsidRPr="00815C9D">
        <w:rPr>
          <w:spacing w:val="-9"/>
        </w:rPr>
        <w:t xml:space="preserve"> </w:t>
      </w:r>
      <w:r w:rsidRPr="00815C9D">
        <w:t>driveways</w:t>
      </w:r>
    </w:p>
    <w:p w14:paraId="3118E3E9" w14:textId="77777777" w:rsidR="00D3782C" w:rsidRPr="00815C9D" w:rsidRDefault="00D3782C" w:rsidP="00D3782C">
      <w:pPr>
        <w:pStyle w:val="ListParagraph"/>
        <w:numPr>
          <w:ilvl w:val="0"/>
          <w:numId w:val="26"/>
        </w:numPr>
      </w:pPr>
      <w:r w:rsidRPr="00815C9D">
        <w:t>Sidewalks</w:t>
      </w:r>
    </w:p>
    <w:p w14:paraId="22EC4035" w14:textId="77777777" w:rsidR="00D3782C" w:rsidRPr="00815C9D" w:rsidRDefault="00D3782C" w:rsidP="00D3782C">
      <w:pPr>
        <w:pStyle w:val="ListParagraph"/>
        <w:numPr>
          <w:ilvl w:val="0"/>
          <w:numId w:val="26"/>
        </w:numPr>
      </w:pPr>
      <w:r w:rsidRPr="00815C9D">
        <w:t>Fences</w:t>
      </w:r>
    </w:p>
    <w:p w14:paraId="5C67ED92" w14:textId="77777777" w:rsidR="00D3782C" w:rsidRPr="00815C9D" w:rsidRDefault="00D3782C" w:rsidP="00D3782C">
      <w:pPr>
        <w:pStyle w:val="ListParagraph"/>
        <w:numPr>
          <w:ilvl w:val="0"/>
          <w:numId w:val="26"/>
        </w:numPr>
      </w:pPr>
      <w:r w:rsidRPr="00815C9D">
        <w:t>Parking</w:t>
      </w:r>
      <w:r w:rsidRPr="00815C9D">
        <w:rPr>
          <w:spacing w:val="-6"/>
        </w:rPr>
        <w:t xml:space="preserve"> </w:t>
      </w:r>
      <w:r w:rsidRPr="00815C9D">
        <w:t>lots</w:t>
      </w:r>
    </w:p>
    <w:p w14:paraId="1A11DC59" w14:textId="77777777" w:rsidR="00D3782C" w:rsidRPr="00815C9D" w:rsidRDefault="00D3782C" w:rsidP="00D3782C">
      <w:pPr>
        <w:pStyle w:val="ListParagraph"/>
        <w:numPr>
          <w:ilvl w:val="0"/>
          <w:numId w:val="26"/>
        </w:numPr>
      </w:pPr>
      <w:r w:rsidRPr="00815C9D">
        <w:t>Rights-of-way access or</w:t>
      </w:r>
      <w:r w:rsidRPr="00815C9D">
        <w:rPr>
          <w:spacing w:val="-17"/>
        </w:rPr>
        <w:t xml:space="preserve"> </w:t>
      </w:r>
      <w:r w:rsidRPr="00815C9D">
        <w:t>easements</w:t>
      </w:r>
    </w:p>
    <w:p w14:paraId="3A3F01CC" w14:textId="77777777" w:rsidR="00D3782C" w:rsidRPr="00815C9D" w:rsidRDefault="00D3782C" w:rsidP="00D3782C">
      <w:pPr>
        <w:pStyle w:val="ListParagraph"/>
        <w:numPr>
          <w:ilvl w:val="0"/>
          <w:numId w:val="26"/>
        </w:numPr>
      </w:pPr>
      <w:r w:rsidRPr="00815C9D">
        <w:t>Lighting</w:t>
      </w:r>
    </w:p>
    <w:p w14:paraId="1E34C32E" w14:textId="77777777" w:rsidR="00D3782C" w:rsidRPr="00815C9D" w:rsidRDefault="00D3782C" w:rsidP="00D3782C">
      <w:pPr>
        <w:pStyle w:val="ListParagraph"/>
        <w:numPr>
          <w:ilvl w:val="0"/>
          <w:numId w:val="26"/>
        </w:numPr>
      </w:pPr>
      <w:r w:rsidRPr="00815C9D">
        <w:t>Sewer</w:t>
      </w:r>
      <w:r w:rsidRPr="00815C9D">
        <w:rPr>
          <w:spacing w:val="-9"/>
        </w:rPr>
        <w:t xml:space="preserve"> </w:t>
      </w:r>
      <w:r w:rsidRPr="00815C9D">
        <w:t>systems</w:t>
      </w:r>
    </w:p>
    <w:p w14:paraId="69308DE8" w14:textId="77777777" w:rsidR="00D3782C" w:rsidRPr="00FB717D" w:rsidRDefault="00D3782C" w:rsidP="00D3782C">
      <w:pPr>
        <w:pStyle w:val="ListParagraph"/>
        <w:numPr>
          <w:ilvl w:val="0"/>
          <w:numId w:val="26"/>
        </w:numPr>
      </w:pPr>
      <w:r w:rsidRPr="00815C9D">
        <w:t>Landscaping</w:t>
      </w:r>
    </w:p>
    <w:p w14:paraId="06C0E117" w14:textId="77777777" w:rsidR="00D3782C" w:rsidRDefault="00D3782C" w:rsidP="00D3782C">
      <w:pPr>
        <w:ind w:left="720"/>
      </w:pPr>
      <w:r w:rsidRPr="00FB717D">
        <w:t xml:space="preserve">A listing of typical costs associated with land improvements and their capitalization versus expense treatment is presented in the charts </w:t>
      </w:r>
      <w:hyperlink w:anchor="Chart_Reference" w:history="1">
        <w:r w:rsidRPr="00E11A89">
          <w:rPr>
            <w:rStyle w:val="Hyperlink"/>
            <w:rFonts w:cstheme="minorHAnsi"/>
          </w:rPr>
          <w:t>here</w:t>
        </w:r>
      </w:hyperlink>
      <w:r w:rsidRPr="00E11A89">
        <w:t>.</w:t>
      </w:r>
    </w:p>
    <w:p w14:paraId="2F77FBAA" w14:textId="77777777" w:rsidR="004436AC" w:rsidRPr="00FB717D" w:rsidRDefault="004436AC" w:rsidP="00D3782C">
      <w:pPr>
        <w:ind w:left="720"/>
      </w:pPr>
    </w:p>
    <w:p w14:paraId="3087E0BC" w14:textId="77777777" w:rsidR="00D3782C" w:rsidRDefault="00D3782C" w:rsidP="00E12136">
      <w:pPr>
        <w:pStyle w:val="LevelA0"/>
      </w:pPr>
      <w:r>
        <w:lastRenderedPageBreak/>
        <w:t>Buildings</w:t>
      </w:r>
    </w:p>
    <w:p w14:paraId="67C55AAB" w14:textId="77777777" w:rsidR="00D3782C" w:rsidRPr="00FB717D" w:rsidRDefault="00D3782C" w:rsidP="00D3782C">
      <w:pPr>
        <w:pStyle w:val="Level10"/>
        <w:numPr>
          <w:ilvl w:val="0"/>
          <w:numId w:val="27"/>
        </w:numPr>
      </w:pPr>
      <w:r w:rsidRPr="00FB717D">
        <w:t>If acquired by purchase</w:t>
      </w:r>
    </w:p>
    <w:p w14:paraId="1934522D" w14:textId="77777777" w:rsidR="00D3782C" w:rsidRPr="00FB717D" w:rsidRDefault="00D3782C" w:rsidP="00D3782C">
      <w:pPr>
        <w:ind w:left="1080"/>
      </w:pPr>
      <w:r w:rsidRPr="00FB717D">
        <w:t>In general, all costs associated with readying an asset for use may be capitalized. These costs must be specifically attributable to the purchase. Incidental costs (i.e., those not critical to preparing the asset for use) are expensed as incurred.</w:t>
      </w:r>
    </w:p>
    <w:p w14:paraId="07414C16" w14:textId="77777777" w:rsidR="00D3782C" w:rsidRPr="00FB717D" w:rsidRDefault="00D3782C" w:rsidP="00D3782C">
      <w:pPr>
        <w:ind w:left="1080"/>
      </w:pPr>
      <w:r w:rsidRPr="00FB717D">
        <w:t>For larger acquisitions, considerable pre-acquisition costs are common and may also be capitalized as long as the building is ultimately purchased. These are typically recorded as prepaid expenses to object code 05</w:t>
      </w:r>
      <w:r>
        <w:t>65</w:t>
      </w:r>
      <w:r w:rsidRPr="00FB717D">
        <w:t xml:space="preserve">, “Prepaid </w:t>
      </w:r>
      <w:r>
        <w:t>Acquisition costs</w:t>
      </w:r>
      <w:r w:rsidRPr="00FB717D">
        <w:t>” and include:</w:t>
      </w:r>
    </w:p>
    <w:p w14:paraId="6F10A342" w14:textId="77777777" w:rsidR="00D3782C" w:rsidRPr="00A77281" w:rsidRDefault="00D3782C" w:rsidP="00D3782C">
      <w:pPr>
        <w:pStyle w:val="ListParagraph"/>
        <w:numPr>
          <w:ilvl w:val="0"/>
          <w:numId w:val="28"/>
        </w:numPr>
      </w:pPr>
      <w:r w:rsidRPr="00A77281">
        <w:t>Legal</w:t>
      </w:r>
      <w:r w:rsidRPr="00A77281">
        <w:rPr>
          <w:spacing w:val="-5"/>
        </w:rPr>
        <w:t xml:space="preserve"> </w:t>
      </w:r>
      <w:r w:rsidRPr="00A77281">
        <w:t>fees</w:t>
      </w:r>
    </w:p>
    <w:p w14:paraId="6C540ED0" w14:textId="77777777" w:rsidR="00D3782C" w:rsidRPr="00A77281" w:rsidRDefault="00D3782C" w:rsidP="00D3782C">
      <w:pPr>
        <w:pStyle w:val="ListParagraph"/>
        <w:numPr>
          <w:ilvl w:val="0"/>
          <w:numId w:val="28"/>
        </w:numPr>
      </w:pPr>
      <w:r w:rsidRPr="00A77281">
        <w:t>Environmental studies (excludes remediation</w:t>
      </w:r>
      <w:r w:rsidRPr="00A77281">
        <w:rPr>
          <w:spacing w:val="-27"/>
        </w:rPr>
        <w:t xml:space="preserve"> </w:t>
      </w:r>
      <w:r w:rsidRPr="00A77281">
        <w:t>costs)</w:t>
      </w:r>
    </w:p>
    <w:p w14:paraId="6FC93ADE" w14:textId="77777777" w:rsidR="00D3782C" w:rsidRPr="00A77281" w:rsidRDefault="00D3782C" w:rsidP="00D3782C">
      <w:pPr>
        <w:pStyle w:val="ListParagraph"/>
        <w:numPr>
          <w:ilvl w:val="0"/>
          <w:numId w:val="28"/>
        </w:numPr>
      </w:pPr>
      <w:r w:rsidRPr="00A77281">
        <w:t>Transportation</w:t>
      </w:r>
      <w:r w:rsidRPr="00A77281">
        <w:rPr>
          <w:spacing w:val="-16"/>
        </w:rPr>
        <w:t xml:space="preserve"> </w:t>
      </w:r>
      <w:r w:rsidRPr="00A77281">
        <w:t>studies</w:t>
      </w:r>
    </w:p>
    <w:p w14:paraId="15E459DA" w14:textId="77777777" w:rsidR="00D3782C" w:rsidRPr="00A77281" w:rsidRDefault="00D3782C" w:rsidP="00D3782C">
      <w:pPr>
        <w:pStyle w:val="ListParagraph"/>
        <w:numPr>
          <w:ilvl w:val="0"/>
          <w:numId w:val="28"/>
        </w:numPr>
      </w:pPr>
      <w:r w:rsidRPr="00A77281">
        <w:t>Due diligence</w:t>
      </w:r>
      <w:r w:rsidRPr="00A77281">
        <w:rPr>
          <w:spacing w:val="-13"/>
        </w:rPr>
        <w:t xml:space="preserve"> </w:t>
      </w:r>
      <w:r w:rsidRPr="00A77281">
        <w:t>costs</w:t>
      </w:r>
    </w:p>
    <w:p w14:paraId="7457B5C4" w14:textId="77777777" w:rsidR="00D3782C" w:rsidRPr="00FB717D" w:rsidRDefault="00D3782C" w:rsidP="00D3782C">
      <w:pPr>
        <w:pStyle w:val="ListParagraph"/>
        <w:numPr>
          <w:ilvl w:val="0"/>
          <w:numId w:val="28"/>
        </w:numPr>
      </w:pPr>
      <w:r w:rsidRPr="00A77281">
        <w:t>Real estate</w:t>
      </w:r>
      <w:r w:rsidRPr="00A77281">
        <w:rPr>
          <w:spacing w:val="-13"/>
        </w:rPr>
        <w:t xml:space="preserve"> </w:t>
      </w:r>
      <w:r w:rsidRPr="00A77281">
        <w:t>commissions</w:t>
      </w:r>
    </w:p>
    <w:p w14:paraId="63E51B89" w14:textId="77777777" w:rsidR="00D3782C" w:rsidRPr="00FB717D" w:rsidRDefault="00D3782C" w:rsidP="00D3782C">
      <w:pPr>
        <w:ind w:left="1080"/>
      </w:pPr>
      <w:r w:rsidRPr="00FB717D">
        <w:t>Once the acquisition is completed, any amounts previously recorded as prepaid expenses are transferred</w:t>
      </w:r>
      <w:r>
        <w:t xml:space="preserve"> through AP Adjustment</w:t>
      </w:r>
      <w:r w:rsidRPr="00FB717D">
        <w:t xml:space="preserve"> to the appropriate plant or Construction in Progress (CIP) account by crediting prepaid </w:t>
      </w:r>
      <w:proofErr w:type="gramStart"/>
      <w:r w:rsidRPr="00FB717D">
        <w:t>expense</w:t>
      </w:r>
      <w:proofErr w:type="gramEnd"/>
      <w:r w:rsidRPr="00FB717D">
        <w:t xml:space="preserve"> and debiting the appropriate plant or CIP object code.</w:t>
      </w:r>
    </w:p>
    <w:p w14:paraId="675E3002" w14:textId="77777777" w:rsidR="00D3782C" w:rsidRPr="00FB717D" w:rsidRDefault="00D3782C" w:rsidP="00D3782C">
      <w:pPr>
        <w:ind w:left="1080"/>
      </w:pPr>
      <w:r w:rsidRPr="00FB717D">
        <w:t>For pre-acquisition costs to be capitalized, the acquisition must be completed. For example, where pre-acquisition legal fees are incurred and environmental studies are performed but the building in question is ultimately not purchased, the legal fees and environmental costs must be expensed.</w:t>
      </w:r>
    </w:p>
    <w:p w14:paraId="2364A361" w14:textId="77777777" w:rsidR="00D3782C" w:rsidRPr="00FB717D" w:rsidRDefault="00D3782C" w:rsidP="00D3782C">
      <w:pPr>
        <w:ind w:left="1080"/>
      </w:pPr>
      <w:r w:rsidRPr="00FB717D">
        <w:t>In cases where land and a building are purchased together for one price, an allocation is required to appropriately split the cost between the two assets. This allocation is made using appraisal values at the time of purchase.</w:t>
      </w:r>
    </w:p>
    <w:p w14:paraId="66DC943B" w14:textId="77777777" w:rsidR="00D3782C" w:rsidRDefault="00D3782C" w:rsidP="00D3782C">
      <w:pPr>
        <w:pStyle w:val="Level10"/>
      </w:pPr>
      <w:r w:rsidRPr="00FB717D">
        <w:t>If acquired by construction</w:t>
      </w:r>
    </w:p>
    <w:p w14:paraId="372F8D07" w14:textId="77777777" w:rsidR="00D3782C" w:rsidRPr="00FB717D" w:rsidRDefault="00D3782C" w:rsidP="00D3782C">
      <w:pPr>
        <w:ind w:left="1080"/>
      </w:pPr>
      <w:r w:rsidRPr="00FB717D">
        <w:t>Constructed buildings can include a broader range of capitalizable costs than purchased buildings. These costs may include such items as salaries for project managers, overhead and external interest charges. A listing of typical costs incurred to construct a building and their capitalization versus expense treatment is presented in the charts that follow.</w:t>
      </w:r>
    </w:p>
    <w:p w14:paraId="3642071B" w14:textId="77777777" w:rsidR="00D3782C" w:rsidRPr="00FB717D" w:rsidRDefault="00D3782C" w:rsidP="00D3782C">
      <w:pPr>
        <w:ind w:left="1080"/>
      </w:pPr>
      <w:r w:rsidRPr="00FB717D">
        <w:t>In cases where land and a building are purchased with the intent to remove the building to prepare the land for construction of a new building, the cost of the building being demolished is capitalized to the land, rather than as part of the cost of the new building.</w:t>
      </w:r>
      <w:r>
        <w:t xml:space="preserve"> This would include any hazardous materials remediation.</w:t>
      </w:r>
    </w:p>
    <w:p w14:paraId="1E176E2D" w14:textId="77777777" w:rsidR="00D3782C" w:rsidRPr="00FB717D" w:rsidRDefault="00D3782C" w:rsidP="00D3782C">
      <w:pPr>
        <w:ind w:left="1080"/>
      </w:pPr>
      <w:r w:rsidRPr="00FB717D">
        <w:t>The</w:t>
      </w:r>
      <w:r w:rsidRPr="00FB717D">
        <w:rPr>
          <w:spacing w:val="-4"/>
        </w:rPr>
        <w:t xml:space="preserve"> </w:t>
      </w:r>
      <w:r w:rsidRPr="00FB717D">
        <w:t>cost</w:t>
      </w:r>
      <w:r w:rsidRPr="00FB717D">
        <w:rPr>
          <w:spacing w:val="-3"/>
        </w:rPr>
        <w:t xml:space="preserve"> </w:t>
      </w:r>
      <w:r w:rsidRPr="00FB717D">
        <w:t>of</w:t>
      </w:r>
      <w:r w:rsidRPr="00FB717D">
        <w:rPr>
          <w:spacing w:val="-4"/>
        </w:rPr>
        <w:t xml:space="preserve"> </w:t>
      </w:r>
      <w:r w:rsidRPr="00FB717D">
        <w:t>removing</w:t>
      </w:r>
      <w:r w:rsidRPr="00FB717D">
        <w:rPr>
          <w:spacing w:val="-3"/>
        </w:rPr>
        <w:t xml:space="preserve"> </w:t>
      </w:r>
      <w:r w:rsidRPr="00FB717D">
        <w:t>an</w:t>
      </w:r>
      <w:r w:rsidRPr="00FB717D">
        <w:rPr>
          <w:spacing w:val="-2"/>
        </w:rPr>
        <w:t xml:space="preserve"> </w:t>
      </w:r>
      <w:r w:rsidRPr="00FB717D">
        <w:t>existing</w:t>
      </w:r>
      <w:r w:rsidRPr="00FB717D">
        <w:rPr>
          <w:spacing w:val="-3"/>
        </w:rPr>
        <w:t xml:space="preserve"> </w:t>
      </w:r>
      <w:r w:rsidRPr="00FB717D">
        <w:t>building</w:t>
      </w:r>
      <w:r w:rsidRPr="00FB717D">
        <w:rPr>
          <w:spacing w:val="-3"/>
        </w:rPr>
        <w:t xml:space="preserve"> </w:t>
      </w:r>
      <w:r w:rsidRPr="00FB717D">
        <w:t>that</w:t>
      </w:r>
      <w:r w:rsidRPr="00FB717D">
        <w:rPr>
          <w:spacing w:val="-3"/>
        </w:rPr>
        <w:t xml:space="preserve"> </w:t>
      </w:r>
      <w:r w:rsidRPr="00FB717D">
        <w:t>was</w:t>
      </w:r>
      <w:r w:rsidRPr="00FB717D">
        <w:rPr>
          <w:spacing w:val="-4"/>
        </w:rPr>
        <w:t xml:space="preserve"> </w:t>
      </w:r>
      <w:r w:rsidRPr="00FB717D">
        <w:t>not</w:t>
      </w:r>
      <w:r w:rsidRPr="00FB717D">
        <w:rPr>
          <w:spacing w:val="-3"/>
        </w:rPr>
        <w:t xml:space="preserve"> </w:t>
      </w:r>
      <w:r w:rsidRPr="00FB717D">
        <w:t>intended</w:t>
      </w:r>
      <w:r w:rsidRPr="00FB717D">
        <w:rPr>
          <w:spacing w:val="-2"/>
        </w:rPr>
        <w:t xml:space="preserve"> </w:t>
      </w:r>
      <w:r w:rsidRPr="00FB717D">
        <w:t>to</w:t>
      </w:r>
      <w:r w:rsidRPr="00FB717D">
        <w:rPr>
          <w:spacing w:val="-3"/>
        </w:rPr>
        <w:t xml:space="preserve"> </w:t>
      </w:r>
      <w:r w:rsidRPr="00FB717D">
        <w:t>be</w:t>
      </w:r>
      <w:r w:rsidRPr="00FB717D">
        <w:rPr>
          <w:spacing w:val="-4"/>
        </w:rPr>
        <w:t xml:space="preserve"> </w:t>
      </w:r>
      <w:r w:rsidRPr="00FB717D">
        <w:t>removed</w:t>
      </w:r>
      <w:r w:rsidRPr="00FB717D">
        <w:rPr>
          <w:spacing w:val="-2"/>
        </w:rPr>
        <w:t xml:space="preserve"> </w:t>
      </w:r>
      <w:r w:rsidRPr="00FB717D">
        <w:t>upon</w:t>
      </w:r>
      <w:r w:rsidRPr="00FB717D">
        <w:rPr>
          <w:spacing w:val="-2"/>
        </w:rPr>
        <w:t xml:space="preserve"> </w:t>
      </w:r>
      <w:r w:rsidRPr="00FB717D">
        <w:t>purchase</w:t>
      </w:r>
      <w:r w:rsidRPr="00FB717D">
        <w:rPr>
          <w:spacing w:val="-4"/>
        </w:rPr>
        <w:t xml:space="preserve"> </w:t>
      </w:r>
      <w:r w:rsidRPr="00FB717D">
        <w:t>and</w:t>
      </w:r>
      <w:r w:rsidRPr="00FB717D">
        <w:rPr>
          <w:spacing w:val="-2"/>
        </w:rPr>
        <w:t xml:space="preserve"> </w:t>
      </w:r>
      <w:r w:rsidRPr="00FB717D">
        <w:t>that</w:t>
      </w:r>
      <w:r w:rsidRPr="00FB717D">
        <w:rPr>
          <w:spacing w:val="-3"/>
        </w:rPr>
        <w:t xml:space="preserve"> </w:t>
      </w:r>
      <w:r w:rsidRPr="00FB717D">
        <w:t>has</w:t>
      </w:r>
      <w:r w:rsidRPr="00FB717D">
        <w:rPr>
          <w:spacing w:val="-4"/>
        </w:rPr>
        <w:t xml:space="preserve"> </w:t>
      </w:r>
      <w:r w:rsidRPr="00FB717D">
        <w:t>been</w:t>
      </w:r>
      <w:r w:rsidRPr="00FB717D">
        <w:rPr>
          <w:spacing w:val="-2"/>
        </w:rPr>
        <w:t xml:space="preserve"> </w:t>
      </w:r>
      <w:r w:rsidRPr="00FB717D">
        <w:t>in</w:t>
      </w:r>
      <w:r w:rsidRPr="00FB717D">
        <w:rPr>
          <w:spacing w:val="-2"/>
        </w:rPr>
        <w:t xml:space="preserve"> </w:t>
      </w:r>
      <w:r w:rsidRPr="00FB717D">
        <w:t>use for some time is treated as an adjustment to the gain or loss on disposal of that building, and not</w:t>
      </w:r>
      <w:r w:rsidRPr="00FB717D">
        <w:rPr>
          <w:spacing w:val="-4"/>
        </w:rPr>
        <w:t xml:space="preserve"> </w:t>
      </w:r>
      <w:r w:rsidRPr="00FB717D">
        <w:t>as</w:t>
      </w:r>
      <w:r w:rsidRPr="00FB717D">
        <w:rPr>
          <w:spacing w:val="-5"/>
        </w:rPr>
        <w:t xml:space="preserve"> </w:t>
      </w:r>
      <w:r w:rsidRPr="00FB717D">
        <w:t>part</w:t>
      </w:r>
      <w:r w:rsidRPr="00FB717D">
        <w:rPr>
          <w:spacing w:val="-4"/>
        </w:rPr>
        <w:t xml:space="preserve"> </w:t>
      </w:r>
      <w:r w:rsidRPr="00FB717D">
        <w:t>of</w:t>
      </w:r>
      <w:r w:rsidRPr="00FB717D">
        <w:rPr>
          <w:spacing w:val="-5"/>
        </w:rPr>
        <w:t xml:space="preserve"> </w:t>
      </w:r>
      <w:r w:rsidRPr="00FB717D">
        <w:t>the</w:t>
      </w:r>
      <w:r w:rsidRPr="00FB717D">
        <w:rPr>
          <w:spacing w:val="-5"/>
        </w:rPr>
        <w:t xml:space="preserve"> </w:t>
      </w:r>
      <w:r w:rsidRPr="00FB717D">
        <w:t>costs</w:t>
      </w:r>
      <w:r w:rsidRPr="00FB717D">
        <w:rPr>
          <w:spacing w:val="-5"/>
        </w:rPr>
        <w:t xml:space="preserve"> </w:t>
      </w:r>
      <w:r w:rsidRPr="00FB717D">
        <w:t>capitalized</w:t>
      </w:r>
      <w:r w:rsidRPr="00FB717D">
        <w:rPr>
          <w:spacing w:val="-3"/>
        </w:rPr>
        <w:t xml:space="preserve"> </w:t>
      </w:r>
      <w:r w:rsidRPr="00FB717D">
        <w:t>with</w:t>
      </w:r>
      <w:r w:rsidRPr="00FB717D">
        <w:rPr>
          <w:spacing w:val="-3"/>
        </w:rPr>
        <w:t xml:space="preserve"> </w:t>
      </w:r>
      <w:r w:rsidRPr="00FB717D">
        <w:t>the</w:t>
      </w:r>
      <w:r w:rsidRPr="00FB717D">
        <w:rPr>
          <w:spacing w:val="-5"/>
        </w:rPr>
        <w:t xml:space="preserve"> </w:t>
      </w:r>
      <w:r w:rsidRPr="00FB717D">
        <w:t>newly</w:t>
      </w:r>
      <w:r w:rsidRPr="00FB717D">
        <w:rPr>
          <w:spacing w:val="-3"/>
        </w:rPr>
        <w:t xml:space="preserve"> </w:t>
      </w:r>
      <w:r w:rsidRPr="00FB717D">
        <w:t>constructed</w:t>
      </w:r>
      <w:r w:rsidRPr="00FB717D">
        <w:rPr>
          <w:spacing w:val="-3"/>
        </w:rPr>
        <w:t xml:space="preserve"> </w:t>
      </w:r>
      <w:r w:rsidRPr="00FB717D">
        <w:t>building.</w:t>
      </w:r>
    </w:p>
    <w:p w14:paraId="03EA8640" w14:textId="77777777" w:rsidR="00D3782C" w:rsidRPr="00E11A89" w:rsidRDefault="00D3782C" w:rsidP="00D3782C">
      <w:pPr>
        <w:ind w:left="1080"/>
      </w:pPr>
      <w:r w:rsidRPr="00FB717D">
        <w:t xml:space="preserve">It is important to distinguish between the cost of the building and the costs of other assets, such as movable furnishings and equipment (MFEs). MFE costs are treated as </w:t>
      </w:r>
      <w:r w:rsidRPr="00FB717D">
        <w:lastRenderedPageBreak/>
        <w:t>separate assets and depreciated over their expected useful lives.</w:t>
      </w:r>
      <w:r w:rsidRPr="00FB717D" w:rsidDel="009B0C6E">
        <w:t xml:space="preserve"> </w:t>
      </w:r>
      <w:r w:rsidRPr="00FB717D">
        <w:t>MFEs are discussed furth</w:t>
      </w:r>
      <w:r w:rsidRPr="00E11A89">
        <w:t>er in the “Equipment if acquired by construction” section of this document.</w:t>
      </w:r>
    </w:p>
    <w:p w14:paraId="572CE6D1" w14:textId="77777777" w:rsidR="00D3782C" w:rsidRPr="003C0005" w:rsidRDefault="00D3782C" w:rsidP="00D3782C">
      <w:pPr>
        <w:pStyle w:val="Level10"/>
      </w:pPr>
      <w:r w:rsidRPr="00FB717D">
        <w:t>Completing Construction</w:t>
      </w:r>
    </w:p>
    <w:p w14:paraId="709FC826" w14:textId="77777777" w:rsidR="00D3782C" w:rsidRPr="00FB717D" w:rsidRDefault="00D3782C" w:rsidP="00D3782C">
      <w:pPr>
        <w:ind w:left="1080"/>
      </w:pPr>
      <w:r w:rsidRPr="00FB717D">
        <w:t>A project must be placed in service (PIS) upon completion, typically upon the Certificate of Occupancy. The close request is initiated through C</w:t>
      </w:r>
      <w:r>
        <w:t>PATH</w:t>
      </w:r>
      <w:r w:rsidRPr="00FB717D">
        <w:t xml:space="preserve"> as the Construction Close Request</w:t>
      </w:r>
      <w:r>
        <w:t xml:space="preserve"> (CCR)</w:t>
      </w:r>
      <w:r w:rsidRPr="00FB717D">
        <w:t>, which is submitted to FAR. This is the same process used for building improvements, discussed below.</w:t>
      </w:r>
    </w:p>
    <w:p w14:paraId="3CCE4D0C" w14:textId="77777777" w:rsidR="00D3782C" w:rsidRDefault="00D3782C" w:rsidP="00D3782C">
      <w:pPr>
        <w:ind w:left="1080"/>
      </w:pPr>
      <w:r w:rsidRPr="00FB717D">
        <w:t>It is imperative that the PIS date be reviewed to ensure it accurately reflects the date of completion, rather than the date that the form has been submitted. This may result in catch-up depreciation.</w:t>
      </w:r>
    </w:p>
    <w:p w14:paraId="183AE31B" w14:textId="77777777" w:rsidR="00D3782C" w:rsidRDefault="00D3782C" w:rsidP="00E12136">
      <w:pPr>
        <w:pStyle w:val="LevelA0"/>
      </w:pPr>
      <w:r w:rsidRPr="00FB717D">
        <w:t>Building Improvements</w:t>
      </w:r>
    </w:p>
    <w:p w14:paraId="26272E58" w14:textId="77777777" w:rsidR="00D3782C" w:rsidRDefault="00D3782C" w:rsidP="00D3782C">
      <w:pPr>
        <w:ind w:left="720"/>
      </w:pPr>
      <w:r w:rsidRPr="00FB717D">
        <w:t>To qualify for capitalization, building improvement expenditures must exceed $100,000 (excluding MFE costs) in total and represent significant alterations, renovations or structural changes that increase the usefulness of the asset, enhance its efficiency or prolong its useful life by more than one year.</w:t>
      </w:r>
    </w:p>
    <w:p w14:paraId="4829ADE6" w14:textId="77777777" w:rsidR="00D3782C" w:rsidRPr="00FB717D" w:rsidRDefault="00D3782C" w:rsidP="00D3782C">
      <w:pPr>
        <w:ind w:left="720"/>
      </w:pPr>
      <w:r w:rsidRPr="005A04A1">
        <w:t>Whenever any building improvements are undertaken, it sh</w:t>
      </w:r>
      <w:r w:rsidRPr="00227494">
        <w:t xml:space="preserve">ould be noted that the previous assets associated with the building should be reviewed for impairment. Refer also to the </w:t>
      </w:r>
      <w:hyperlink r:id="rId12" w:history="1">
        <w:r w:rsidRPr="00227494">
          <w:rPr>
            <w:rStyle w:val="Hyperlink"/>
            <w:rFonts w:cstheme="minorHAnsi"/>
          </w:rPr>
          <w:t>Internal Control Matrix</w:t>
        </w:r>
      </w:hyperlink>
      <w:r>
        <w:t>.</w:t>
      </w:r>
    </w:p>
    <w:p w14:paraId="020138C9" w14:textId="77777777" w:rsidR="00D3782C" w:rsidRPr="00FB717D" w:rsidRDefault="00D3782C" w:rsidP="00D3782C">
      <w:pPr>
        <w:pStyle w:val="Level10"/>
        <w:numPr>
          <w:ilvl w:val="0"/>
          <w:numId w:val="29"/>
        </w:numPr>
      </w:pPr>
      <w:r w:rsidRPr="00FB717D">
        <w:t xml:space="preserve">Capitalizable building improvements may include interior or exterior renovation of a </w:t>
      </w:r>
      <w:proofErr w:type="gramStart"/>
      <w:r w:rsidRPr="00FB717D">
        <w:t>building, or</w:t>
      </w:r>
      <w:proofErr w:type="gramEnd"/>
      <w:r w:rsidRPr="00FB717D">
        <w:t xml:space="preserve"> upgrading of building systems such as electrical wiring or plumbing. They may also include the completion of interior or exterior finishes, so long as they represent a significant alteration or renovation.</w:t>
      </w:r>
      <w:r>
        <w:t xml:space="preserve"> </w:t>
      </w:r>
      <w:r w:rsidRPr="00FB717D">
        <w:t>There are three major categories of renovation that may be capitalized:</w:t>
      </w:r>
    </w:p>
    <w:p w14:paraId="03EC1D89" w14:textId="77777777" w:rsidR="00D3782C" w:rsidRPr="00FB717D" w:rsidRDefault="00D3782C" w:rsidP="00D3782C">
      <w:pPr>
        <w:pStyle w:val="Levela"/>
        <w:numPr>
          <w:ilvl w:val="0"/>
          <w:numId w:val="30"/>
        </w:numPr>
      </w:pPr>
      <w:r w:rsidRPr="00FB717D">
        <w:t>Alterations</w:t>
      </w:r>
      <w:r w:rsidRPr="00716B03">
        <w:rPr>
          <w:spacing w:val="-5"/>
        </w:rPr>
        <w:t xml:space="preserve"> </w:t>
      </w:r>
      <w:r w:rsidRPr="00FB717D">
        <w:t>–</w:t>
      </w:r>
      <w:r w:rsidRPr="00716B03">
        <w:rPr>
          <w:spacing w:val="-3"/>
        </w:rPr>
        <w:t xml:space="preserve"> </w:t>
      </w:r>
      <w:r w:rsidRPr="00FB717D">
        <w:t>changes</w:t>
      </w:r>
      <w:r w:rsidRPr="00716B03">
        <w:rPr>
          <w:spacing w:val="-5"/>
        </w:rPr>
        <w:t xml:space="preserve"> </w:t>
      </w:r>
      <w:r w:rsidRPr="00FB717D">
        <w:t>to</w:t>
      </w:r>
      <w:r w:rsidRPr="00716B03">
        <w:rPr>
          <w:spacing w:val="-4"/>
        </w:rPr>
        <w:t xml:space="preserve"> </w:t>
      </w:r>
      <w:r w:rsidRPr="00FB717D">
        <w:t>the</w:t>
      </w:r>
      <w:r w:rsidRPr="00716B03">
        <w:rPr>
          <w:spacing w:val="-5"/>
        </w:rPr>
        <w:t xml:space="preserve"> </w:t>
      </w:r>
      <w:r w:rsidRPr="00FB717D">
        <w:t>internal</w:t>
      </w:r>
      <w:r w:rsidRPr="00716B03">
        <w:rPr>
          <w:spacing w:val="-4"/>
        </w:rPr>
        <w:t xml:space="preserve"> </w:t>
      </w:r>
      <w:r w:rsidRPr="00FB717D">
        <w:t>structural</w:t>
      </w:r>
      <w:r w:rsidRPr="00716B03">
        <w:rPr>
          <w:spacing w:val="-4"/>
        </w:rPr>
        <w:t xml:space="preserve"> </w:t>
      </w:r>
      <w:r w:rsidRPr="00FB717D">
        <w:t>arrangement</w:t>
      </w:r>
      <w:r w:rsidRPr="00716B03">
        <w:rPr>
          <w:spacing w:val="-4"/>
        </w:rPr>
        <w:t xml:space="preserve"> </w:t>
      </w:r>
      <w:r w:rsidRPr="00FB717D">
        <w:t>or</w:t>
      </w:r>
      <w:r w:rsidRPr="00716B03">
        <w:rPr>
          <w:spacing w:val="-4"/>
        </w:rPr>
        <w:t xml:space="preserve"> </w:t>
      </w:r>
      <w:r w:rsidRPr="00FB717D">
        <w:t>other</w:t>
      </w:r>
      <w:r w:rsidRPr="00716B03">
        <w:rPr>
          <w:spacing w:val="-4"/>
        </w:rPr>
        <w:t xml:space="preserve"> </w:t>
      </w:r>
      <w:r w:rsidRPr="00FB717D">
        <w:t>physical</w:t>
      </w:r>
      <w:r w:rsidRPr="00716B03">
        <w:rPr>
          <w:spacing w:val="-4"/>
        </w:rPr>
        <w:t xml:space="preserve"> </w:t>
      </w:r>
      <w:r w:rsidRPr="00FB717D">
        <w:t>characteristics</w:t>
      </w:r>
      <w:r w:rsidRPr="00716B03">
        <w:rPr>
          <w:spacing w:val="-5"/>
        </w:rPr>
        <w:t xml:space="preserve"> </w:t>
      </w:r>
      <w:r w:rsidRPr="00FB717D">
        <w:t>of</w:t>
      </w:r>
      <w:r w:rsidRPr="00716B03">
        <w:rPr>
          <w:spacing w:val="-5"/>
        </w:rPr>
        <w:t xml:space="preserve"> </w:t>
      </w:r>
      <w:r w:rsidRPr="00FB717D">
        <w:t>an</w:t>
      </w:r>
      <w:r w:rsidRPr="00716B03">
        <w:rPr>
          <w:spacing w:val="-3"/>
        </w:rPr>
        <w:t xml:space="preserve"> </w:t>
      </w:r>
      <w:r w:rsidRPr="00FB717D">
        <w:t>existing asset so that it may be effectively used for a newly designated purpose. Examples of alterations</w:t>
      </w:r>
      <w:r w:rsidRPr="00716B03">
        <w:rPr>
          <w:spacing w:val="-7"/>
        </w:rPr>
        <w:t xml:space="preserve"> </w:t>
      </w:r>
      <w:r w:rsidRPr="00FB717D">
        <w:t>include:</w:t>
      </w:r>
    </w:p>
    <w:p w14:paraId="1435D230" w14:textId="77777777" w:rsidR="00D3782C" w:rsidRPr="00FB717D" w:rsidRDefault="00D3782C" w:rsidP="00D3782C">
      <w:pPr>
        <w:pStyle w:val="ListParagraph"/>
        <w:numPr>
          <w:ilvl w:val="0"/>
          <w:numId w:val="31"/>
        </w:numPr>
      </w:pPr>
      <w:r w:rsidRPr="00FB717D">
        <w:t>Adding</w:t>
      </w:r>
      <w:r w:rsidRPr="00F527E6">
        <w:rPr>
          <w:spacing w:val="-4"/>
        </w:rPr>
        <w:t xml:space="preserve"> </w:t>
      </w:r>
      <w:r w:rsidRPr="00FB717D">
        <w:t>a</w:t>
      </w:r>
      <w:r w:rsidRPr="00F527E6">
        <w:rPr>
          <w:spacing w:val="-3"/>
        </w:rPr>
        <w:t xml:space="preserve"> </w:t>
      </w:r>
      <w:r w:rsidRPr="00FB717D">
        <w:t>lunch</w:t>
      </w:r>
      <w:r w:rsidRPr="00F527E6">
        <w:rPr>
          <w:spacing w:val="-3"/>
        </w:rPr>
        <w:t xml:space="preserve"> </w:t>
      </w:r>
      <w:r w:rsidRPr="00FB717D">
        <w:t>area,</w:t>
      </w:r>
      <w:r w:rsidRPr="00F527E6">
        <w:rPr>
          <w:spacing w:val="-3"/>
        </w:rPr>
        <w:t xml:space="preserve"> </w:t>
      </w:r>
      <w:proofErr w:type="gramStart"/>
      <w:r w:rsidRPr="00FB717D">
        <w:t>rest</w:t>
      </w:r>
      <w:r w:rsidRPr="00F527E6">
        <w:rPr>
          <w:spacing w:val="-4"/>
        </w:rPr>
        <w:t xml:space="preserve"> </w:t>
      </w:r>
      <w:r w:rsidRPr="00FB717D">
        <w:t>rooms</w:t>
      </w:r>
      <w:proofErr w:type="gramEnd"/>
      <w:r w:rsidRPr="00FB717D">
        <w:t>,</w:t>
      </w:r>
      <w:r w:rsidRPr="00F527E6">
        <w:rPr>
          <w:spacing w:val="-3"/>
        </w:rPr>
        <w:t xml:space="preserve"> </w:t>
      </w:r>
      <w:r w:rsidRPr="00FB717D">
        <w:t>offices</w:t>
      </w:r>
      <w:r w:rsidRPr="00F527E6">
        <w:rPr>
          <w:spacing w:val="-5"/>
        </w:rPr>
        <w:t xml:space="preserve"> </w:t>
      </w:r>
      <w:r w:rsidRPr="00FB717D">
        <w:t>or</w:t>
      </w:r>
      <w:r w:rsidRPr="00F527E6">
        <w:rPr>
          <w:spacing w:val="-4"/>
        </w:rPr>
        <w:t xml:space="preserve"> </w:t>
      </w:r>
      <w:r w:rsidRPr="00FB717D">
        <w:t>a</w:t>
      </w:r>
      <w:r w:rsidRPr="00F527E6">
        <w:rPr>
          <w:spacing w:val="-4"/>
        </w:rPr>
        <w:t xml:space="preserve"> </w:t>
      </w:r>
      <w:r w:rsidRPr="00FB717D">
        <w:t>new</w:t>
      </w:r>
      <w:r w:rsidRPr="00F527E6">
        <w:rPr>
          <w:spacing w:val="-2"/>
        </w:rPr>
        <w:t xml:space="preserve"> </w:t>
      </w:r>
      <w:r w:rsidRPr="00FB717D">
        <w:t>wing</w:t>
      </w:r>
      <w:r w:rsidRPr="00F527E6">
        <w:rPr>
          <w:spacing w:val="-4"/>
        </w:rPr>
        <w:t xml:space="preserve"> </w:t>
      </w:r>
      <w:r w:rsidRPr="00FB717D">
        <w:t>to</w:t>
      </w:r>
      <w:r w:rsidRPr="00F527E6">
        <w:rPr>
          <w:spacing w:val="-4"/>
        </w:rPr>
        <w:t xml:space="preserve"> </w:t>
      </w:r>
      <w:r w:rsidRPr="00FB717D">
        <w:t>an</w:t>
      </w:r>
      <w:r w:rsidRPr="00F527E6">
        <w:rPr>
          <w:spacing w:val="-3"/>
        </w:rPr>
        <w:t xml:space="preserve"> </w:t>
      </w:r>
      <w:r w:rsidRPr="00FB717D">
        <w:t>existing</w:t>
      </w:r>
      <w:r w:rsidRPr="00F527E6">
        <w:rPr>
          <w:spacing w:val="-4"/>
        </w:rPr>
        <w:t xml:space="preserve"> </w:t>
      </w:r>
      <w:r w:rsidRPr="00FB717D">
        <w:t>building</w:t>
      </w:r>
    </w:p>
    <w:p w14:paraId="6FCD357F" w14:textId="77777777" w:rsidR="00D3782C" w:rsidRPr="00FB717D" w:rsidRDefault="00D3782C" w:rsidP="00D3782C">
      <w:pPr>
        <w:pStyle w:val="ListParagraph"/>
        <w:numPr>
          <w:ilvl w:val="0"/>
          <w:numId w:val="31"/>
        </w:numPr>
      </w:pPr>
      <w:r w:rsidRPr="00FB717D">
        <w:t>Changing classroom space into office</w:t>
      </w:r>
      <w:r w:rsidRPr="00F527E6">
        <w:rPr>
          <w:spacing w:val="-25"/>
        </w:rPr>
        <w:t xml:space="preserve"> </w:t>
      </w:r>
      <w:r w:rsidRPr="00FB717D">
        <w:t>space</w:t>
      </w:r>
    </w:p>
    <w:p w14:paraId="2E8A3153" w14:textId="77777777" w:rsidR="00D3782C" w:rsidRPr="00FB717D" w:rsidRDefault="00D3782C" w:rsidP="00D3782C">
      <w:pPr>
        <w:pStyle w:val="ListParagraph"/>
        <w:numPr>
          <w:ilvl w:val="0"/>
          <w:numId w:val="31"/>
        </w:numPr>
      </w:pPr>
      <w:r w:rsidRPr="00FB717D">
        <w:t>Converting three offices into one</w:t>
      </w:r>
      <w:r w:rsidRPr="00F527E6">
        <w:rPr>
          <w:spacing w:val="-22"/>
        </w:rPr>
        <w:t xml:space="preserve"> </w:t>
      </w:r>
      <w:r w:rsidRPr="00FB717D">
        <w:t>office</w:t>
      </w:r>
    </w:p>
    <w:p w14:paraId="069319D8" w14:textId="77777777" w:rsidR="00D3782C" w:rsidRPr="00FB717D" w:rsidRDefault="00D3782C" w:rsidP="00D3782C">
      <w:pPr>
        <w:pStyle w:val="ListParagraph"/>
        <w:numPr>
          <w:ilvl w:val="0"/>
          <w:numId w:val="31"/>
        </w:numPr>
      </w:pPr>
      <w:r w:rsidRPr="00FB717D">
        <w:t>Installing</w:t>
      </w:r>
      <w:r w:rsidRPr="00F527E6">
        <w:rPr>
          <w:spacing w:val="-4"/>
        </w:rPr>
        <w:t xml:space="preserve"> </w:t>
      </w:r>
      <w:r w:rsidRPr="00FB717D">
        <w:t>new</w:t>
      </w:r>
      <w:r w:rsidRPr="00F527E6">
        <w:rPr>
          <w:spacing w:val="-3"/>
        </w:rPr>
        <w:t xml:space="preserve"> </w:t>
      </w:r>
      <w:r w:rsidRPr="00FB717D">
        <w:t>wiring,</w:t>
      </w:r>
      <w:r w:rsidRPr="00F527E6">
        <w:rPr>
          <w:spacing w:val="-3"/>
        </w:rPr>
        <w:t xml:space="preserve"> </w:t>
      </w:r>
      <w:r w:rsidRPr="00FB717D">
        <w:t>heating,</w:t>
      </w:r>
      <w:r w:rsidRPr="00F527E6">
        <w:rPr>
          <w:spacing w:val="-1"/>
        </w:rPr>
        <w:t xml:space="preserve"> </w:t>
      </w:r>
      <w:r w:rsidRPr="00FB717D">
        <w:t>painting</w:t>
      </w:r>
      <w:r w:rsidRPr="00F527E6">
        <w:rPr>
          <w:spacing w:val="-4"/>
        </w:rPr>
        <w:t xml:space="preserve"> </w:t>
      </w:r>
      <w:r w:rsidRPr="00FB717D">
        <w:t>and</w:t>
      </w:r>
      <w:r w:rsidRPr="00F527E6">
        <w:rPr>
          <w:spacing w:val="-3"/>
        </w:rPr>
        <w:t xml:space="preserve"> leasehold </w:t>
      </w:r>
      <w:r w:rsidRPr="00FB717D">
        <w:t>improvements</w:t>
      </w:r>
      <w:r w:rsidRPr="00F527E6">
        <w:rPr>
          <w:spacing w:val="-5"/>
        </w:rPr>
        <w:t xml:space="preserve"> </w:t>
      </w:r>
      <w:r w:rsidRPr="00FB717D">
        <w:t>to</w:t>
      </w:r>
      <w:r w:rsidRPr="00F527E6">
        <w:rPr>
          <w:spacing w:val="-4"/>
        </w:rPr>
        <w:t xml:space="preserve"> </w:t>
      </w:r>
      <w:r w:rsidRPr="00FB717D">
        <w:t>prepare</w:t>
      </w:r>
      <w:r w:rsidRPr="00F527E6">
        <w:rPr>
          <w:spacing w:val="-5"/>
        </w:rPr>
        <w:t xml:space="preserve"> </w:t>
      </w:r>
      <w:r w:rsidRPr="00FB717D">
        <w:t>the</w:t>
      </w:r>
      <w:r w:rsidRPr="00F527E6">
        <w:rPr>
          <w:spacing w:val="-5"/>
        </w:rPr>
        <w:t xml:space="preserve"> </w:t>
      </w:r>
      <w:r w:rsidRPr="00FB717D">
        <w:t>property</w:t>
      </w:r>
      <w:r w:rsidRPr="00F527E6">
        <w:rPr>
          <w:spacing w:val="-3"/>
        </w:rPr>
        <w:t xml:space="preserve"> </w:t>
      </w:r>
      <w:r w:rsidRPr="00FB717D">
        <w:t>for</w:t>
      </w:r>
      <w:r w:rsidRPr="00F527E6">
        <w:rPr>
          <w:spacing w:val="-4"/>
        </w:rPr>
        <w:t xml:space="preserve"> </w:t>
      </w:r>
      <w:r w:rsidRPr="00FB717D">
        <w:t>new</w:t>
      </w:r>
      <w:r w:rsidRPr="00F527E6">
        <w:rPr>
          <w:spacing w:val="-5"/>
        </w:rPr>
        <w:t xml:space="preserve"> </w:t>
      </w:r>
      <w:r w:rsidRPr="00FB717D">
        <w:t>use</w:t>
      </w:r>
      <w:r w:rsidRPr="00F527E6">
        <w:rPr>
          <w:spacing w:val="-5"/>
        </w:rPr>
        <w:t xml:space="preserve"> </w:t>
      </w:r>
      <w:r w:rsidRPr="00FB717D">
        <w:t>by</w:t>
      </w:r>
      <w:r w:rsidRPr="00F527E6">
        <w:rPr>
          <w:spacing w:val="-3"/>
        </w:rPr>
        <w:t xml:space="preserve"> </w:t>
      </w:r>
      <w:r w:rsidRPr="00FB717D">
        <w:t>a tenant</w:t>
      </w:r>
    </w:p>
    <w:p w14:paraId="54531B08" w14:textId="77777777" w:rsidR="00D3782C" w:rsidRPr="00FB717D" w:rsidRDefault="00D3782C" w:rsidP="00D3782C">
      <w:pPr>
        <w:pStyle w:val="Levela"/>
      </w:pPr>
      <w:r w:rsidRPr="00FB717D">
        <w:t>Renovations – the total or partial upgrading of a facility to higher standards of quality or efficiency. Examples of renovations</w:t>
      </w:r>
      <w:r w:rsidRPr="00FB717D">
        <w:rPr>
          <w:spacing w:val="-15"/>
        </w:rPr>
        <w:t xml:space="preserve"> </w:t>
      </w:r>
      <w:r w:rsidRPr="00FB717D">
        <w:t>include:</w:t>
      </w:r>
    </w:p>
    <w:p w14:paraId="1340D827" w14:textId="77777777" w:rsidR="00D3782C" w:rsidRPr="00054650" w:rsidRDefault="00D3782C" w:rsidP="00D3782C">
      <w:pPr>
        <w:pStyle w:val="ListParagraph"/>
        <w:numPr>
          <w:ilvl w:val="0"/>
          <w:numId w:val="32"/>
        </w:numPr>
      </w:pPr>
      <w:r w:rsidRPr="00054650">
        <w:t>Conforming</w:t>
      </w:r>
      <w:r w:rsidRPr="00054650">
        <w:rPr>
          <w:spacing w:val="-5"/>
        </w:rPr>
        <w:t xml:space="preserve"> </w:t>
      </w:r>
      <w:r w:rsidRPr="00054650">
        <w:t>a</w:t>
      </w:r>
      <w:r w:rsidRPr="00054650">
        <w:rPr>
          <w:spacing w:val="-5"/>
        </w:rPr>
        <w:t xml:space="preserve"> </w:t>
      </w:r>
      <w:r w:rsidRPr="00054650">
        <w:t>building</w:t>
      </w:r>
      <w:r w:rsidRPr="00054650">
        <w:rPr>
          <w:spacing w:val="-5"/>
        </w:rPr>
        <w:t xml:space="preserve"> </w:t>
      </w:r>
      <w:r w:rsidRPr="00054650">
        <w:t>or</w:t>
      </w:r>
      <w:r w:rsidRPr="00054650">
        <w:rPr>
          <w:spacing w:val="-5"/>
        </w:rPr>
        <w:t xml:space="preserve"> </w:t>
      </w:r>
      <w:r w:rsidRPr="00054650">
        <w:t>area</w:t>
      </w:r>
      <w:r w:rsidRPr="00054650">
        <w:rPr>
          <w:spacing w:val="-2"/>
        </w:rPr>
        <w:t xml:space="preserve"> </w:t>
      </w:r>
      <w:proofErr w:type="gramStart"/>
      <w:r w:rsidRPr="00054650">
        <w:t>to</w:t>
      </w:r>
      <w:r w:rsidRPr="00054650">
        <w:rPr>
          <w:spacing w:val="-5"/>
        </w:rPr>
        <w:t xml:space="preserve"> </w:t>
      </w:r>
      <w:r w:rsidRPr="00054650">
        <w:t>municipal</w:t>
      </w:r>
      <w:proofErr w:type="gramEnd"/>
      <w:r w:rsidRPr="00054650">
        <w:rPr>
          <w:spacing w:val="-5"/>
        </w:rPr>
        <w:t xml:space="preserve"> </w:t>
      </w:r>
      <w:r w:rsidRPr="00054650">
        <w:t>building</w:t>
      </w:r>
      <w:r w:rsidRPr="00054650">
        <w:rPr>
          <w:spacing w:val="-5"/>
        </w:rPr>
        <w:t xml:space="preserve"> </w:t>
      </w:r>
      <w:r w:rsidRPr="00054650">
        <w:t>code</w:t>
      </w:r>
      <w:r w:rsidRPr="00054650">
        <w:rPr>
          <w:spacing w:val="-5"/>
        </w:rPr>
        <w:t xml:space="preserve"> </w:t>
      </w:r>
      <w:r w:rsidRPr="00054650">
        <w:t>or</w:t>
      </w:r>
      <w:r w:rsidRPr="00054650">
        <w:rPr>
          <w:spacing w:val="-5"/>
        </w:rPr>
        <w:t xml:space="preserve"> </w:t>
      </w:r>
      <w:r w:rsidRPr="00054650">
        <w:t>government</w:t>
      </w:r>
      <w:r w:rsidRPr="00054650">
        <w:rPr>
          <w:spacing w:val="-5"/>
        </w:rPr>
        <w:t xml:space="preserve"> </w:t>
      </w:r>
      <w:r w:rsidRPr="00054650">
        <w:t>regulations</w:t>
      </w:r>
    </w:p>
    <w:p w14:paraId="39B10644" w14:textId="77777777" w:rsidR="00D3782C" w:rsidRPr="00054650" w:rsidRDefault="00D3782C" w:rsidP="00D3782C">
      <w:pPr>
        <w:pStyle w:val="ListParagraph"/>
        <w:numPr>
          <w:ilvl w:val="0"/>
          <w:numId w:val="32"/>
        </w:numPr>
      </w:pPr>
      <w:r w:rsidRPr="00054650">
        <w:t>Replacing a sheet metal roof with a copper</w:t>
      </w:r>
      <w:r w:rsidRPr="00054650">
        <w:rPr>
          <w:spacing w:val="-24"/>
        </w:rPr>
        <w:t xml:space="preserve"> </w:t>
      </w:r>
      <w:r w:rsidRPr="00054650">
        <w:t>roof</w:t>
      </w:r>
    </w:p>
    <w:p w14:paraId="574A3E16" w14:textId="77777777" w:rsidR="00D3782C" w:rsidRPr="00054650" w:rsidRDefault="00D3782C" w:rsidP="00D3782C">
      <w:pPr>
        <w:pStyle w:val="ListParagraph"/>
        <w:numPr>
          <w:ilvl w:val="0"/>
          <w:numId w:val="32"/>
        </w:numPr>
      </w:pPr>
      <w:r w:rsidRPr="00054650">
        <w:t>Transitioning an old research laboratory into a state-of-the-art facility, with new fixed equipment, lighting or other</w:t>
      </w:r>
      <w:r w:rsidRPr="00054650">
        <w:rPr>
          <w:spacing w:val="-17"/>
        </w:rPr>
        <w:t xml:space="preserve"> </w:t>
      </w:r>
      <w:r w:rsidRPr="00054650">
        <w:t>subsystems</w:t>
      </w:r>
    </w:p>
    <w:p w14:paraId="563CB499" w14:textId="77777777" w:rsidR="00D3782C" w:rsidRPr="00FB717D" w:rsidRDefault="00D3782C" w:rsidP="00D3782C">
      <w:pPr>
        <w:pStyle w:val="Levela"/>
      </w:pPr>
      <w:r w:rsidRPr="00FB717D">
        <w:t xml:space="preserve">Renewals and replacements – the overhaul or replacement of major constituent parts that have deteriorated because of time or usage, where the deterioration has not been corrected through ongoing or required maintenance and now requires a </w:t>
      </w:r>
      <w:r w:rsidRPr="00FB717D">
        <w:lastRenderedPageBreak/>
        <w:t xml:space="preserve">major overhaul. These projects can involve </w:t>
      </w:r>
      <w:r w:rsidRPr="00FB717D">
        <w:rPr>
          <w:u w:val="single"/>
        </w:rPr>
        <w:t>fixed</w:t>
      </w:r>
      <w:r w:rsidRPr="00FB717D">
        <w:t xml:space="preserve"> equipment,</w:t>
      </w:r>
      <w:r w:rsidRPr="00FB717D">
        <w:rPr>
          <w:spacing w:val="-9"/>
        </w:rPr>
        <w:t xml:space="preserve"> </w:t>
      </w:r>
      <w:r w:rsidRPr="00FB717D">
        <w:t>which is different from moveable furniture and equipment (MFE). Fixed equipment is defined as equipment that is bolted to and part of the operations of a building (i.e., elevators, coolers, boilers, etc.) In research buildings, fixed equipment is tracked as a separate component. Examples of renewals and replacements include:</w:t>
      </w:r>
    </w:p>
    <w:p w14:paraId="71E92CEB" w14:textId="77777777" w:rsidR="00D3782C" w:rsidRPr="00FB717D" w:rsidRDefault="00D3782C" w:rsidP="00D3782C">
      <w:pPr>
        <w:pStyle w:val="ListParagraph"/>
        <w:numPr>
          <w:ilvl w:val="0"/>
          <w:numId w:val="33"/>
        </w:numPr>
      </w:pPr>
      <w:r w:rsidRPr="00FB717D">
        <w:t>Installing a new</w:t>
      </w:r>
      <w:r w:rsidRPr="00E366AF">
        <w:rPr>
          <w:spacing w:val="-16"/>
        </w:rPr>
        <w:t xml:space="preserve"> </w:t>
      </w:r>
      <w:r w:rsidRPr="00FB717D">
        <w:t>floor</w:t>
      </w:r>
    </w:p>
    <w:p w14:paraId="196D1D53" w14:textId="77777777" w:rsidR="00D3782C" w:rsidRPr="00FB717D" w:rsidRDefault="00D3782C" w:rsidP="00D3782C">
      <w:pPr>
        <w:pStyle w:val="ListParagraph"/>
        <w:numPr>
          <w:ilvl w:val="0"/>
          <w:numId w:val="33"/>
        </w:numPr>
      </w:pPr>
      <w:r w:rsidRPr="00FB717D">
        <w:t>Replacing</w:t>
      </w:r>
      <w:r w:rsidRPr="00E366AF">
        <w:rPr>
          <w:spacing w:val="-4"/>
        </w:rPr>
        <w:t xml:space="preserve"> </w:t>
      </w:r>
      <w:r w:rsidRPr="00FB717D">
        <w:t>old</w:t>
      </w:r>
      <w:r w:rsidRPr="00E366AF">
        <w:rPr>
          <w:spacing w:val="-3"/>
        </w:rPr>
        <w:t xml:space="preserve"> </w:t>
      </w:r>
      <w:r w:rsidRPr="00FB717D">
        <w:t>or</w:t>
      </w:r>
      <w:r w:rsidRPr="00E366AF">
        <w:rPr>
          <w:spacing w:val="-4"/>
        </w:rPr>
        <w:t xml:space="preserve"> </w:t>
      </w:r>
      <w:r w:rsidRPr="00FB717D">
        <w:t>broken</w:t>
      </w:r>
      <w:r w:rsidRPr="00E366AF">
        <w:rPr>
          <w:spacing w:val="-3"/>
        </w:rPr>
        <w:t xml:space="preserve"> </w:t>
      </w:r>
      <w:r w:rsidRPr="00FB717D">
        <w:t>windows</w:t>
      </w:r>
      <w:r w:rsidRPr="00E366AF">
        <w:rPr>
          <w:spacing w:val="-5"/>
        </w:rPr>
        <w:t xml:space="preserve"> </w:t>
      </w:r>
      <w:r w:rsidRPr="00FB717D">
        <w:t>as</w:t>
      </w:r>
      <w:r w:rsidRPr="00E366AF">
        <w:rPr>
          <w:spacing w:val="-5"/>
        </w:rPr>
        <w:t xml:space="preserve"> </w:t>
      </w:r>
      <w:r w:rsidRPr="00FB717D">
        <w:t>part</w:t>
      </w:r>
      <w:r w:rsidRPr="00E366AF">
        <w:rPr>
          <w:spacing w:val="-4"/>
        </w:rPr>
        <w:t xml:space="preserve"> </w:t>
      </w:r>
      <w:r w:rsidRPr="00FB717D">
        <w:t>of</w:t>
      </w:r>
      <w:r w:rsidRPr="00E366AF">
        <w:rPr>
          <w:spacing w:val="-5"/>
        </w:rPr>
        <w:t xml:space="preserve"> </w:t>
      </w:r>
      <w:r w:rsidRPr="00FB717D">
        <w:t>a</w:t>
      </w:r>
      <w:r w:rsidRPr="00E366AF">
        <w:rPr>
          <w:spacing w:val="-4"/>
        </w:rPr>
        <w:t xml:space="preserve"> </w:t>
      </w:r>
      <w:r w:rsidRPr="00FB717D">
        <w:t>larger</w:t>
      </w:r>
      <w:r w:rsidRPr="00E366AF">
        <w:rPr>
          <w:spacing w:val="-4"/>
        </w:rPr>
        <w:t xml:space="preserve"> </w:t>
      </w:r>
      <w:r w:rsidRPr="00FB717D">
        <w:t>renovation</w:t>
      </w:r>
      <w:r w:rsidRPr="00E366AF">
        <w:rPr>
          <w:spacing w:val="-3"/>
        </w:rPr>
        <w:t xml:space="preserve"> </w:t>
      </w:r>
      <w:r w:rsidRPr="00FB717D">
        <w:t>project</w:t>
      </w:r>
    </w:p>
    <w:p w14:paraId="0A0AA6A3" w14:textId="77777777" w:rsidR="00D3782C" w:rsidRPr="00FB717D" w:rsidRDefault="00D3782C" w:rsidP="00D3782C">
      <w:pPr>
        <w:pStyle w:val="ListParagraph"/>
        <w:numPr>
          <w:ilvl w:val="0"/>
          <w:numId w:val="33"/>
        </w:numPr>
      </w:pPr>
      <w:r w:rsidRPr="00FB717D">
        <w:t>Replacing</w:t>
      </w:r>
      <w:r w:rsidRPr="00E366AF">
        <w:rPr>
          <w:spacing w:val="-6"/>
        </w:rPr>
        <w:t xml:space="preserve"> </w:t>
      </w:r>
      <w:r w:rsidRPr="00FB717D">
        <w:t>electrical,</w:t>
      </w:r>
      <w:r w:rsidRPr="00E366AF">
        <w:rPr>
          <w:spacing w:val="-5"/>
        </w:rPr>
        <w:t xml:space="preserve"> </w:t>
      </w:r>
      <w:r w:rsidRPr="00FB717D">
        <w:t>plumbing,</w:t>
      </w:r>
      <w:r w:rsidRPr="00E366AF">
        <w:rPr>
          <w:spacing w:val="-5"/>
        </w:rPr>
        <w:t xml:space="preserve"> </w:t>
      </w:r>
      <w:r w:rsidRPr="00FB717D">
        <w:t>heating</w:t>
      </w:r>
      <w:r w:rsidRPr="00E366AF">
        <w:rPr>
          <w:spacing w:val="-6"/>
        </w:rPr>
        <w:t xml:space="preserve"> </w:t>
      </w:r>
      <w:r w:rsidRPr="00FB717D">
        <w:t>or</w:t>
      </w:r>
      <w:r w:rsidRPr="00E366AF">
        <w:rPr>
          <w:spacing w:val="-6"/>
        </w:rPr>
        <w:t xml:space="preserve"> </w:t>
      </w:r>
      <w:r w:rsidRPr="00FB717D">
        <w:t>air</w:t>
      </w:r>
      <w:r w:rsidRPr="00E366AF">
        <w:rPr>
          <w:spacing w:val="-6"/>
        </w:rPr>
        <w:t xml:space="preserve"> </w:t>
      </w:r>
      <w:r w:rsidRPr="00FB717D">
        <w:t>conditioning</w:t>
      </w:r>
      <w:r w:rsidRPr="00E366AF">
        <w:rPr>
          <w:spacing w:val="-6"/>
        </w:rPr>
        <w:t xml:space="preserve"> </w:t>
      </w:r>
      <w:r w:rsidRPr="00FB717D">
        <w:t>systems</w:t>
      </w:r>
    </w:p>
    <w:p w14:paraId="55A77881" w14:textId="77777777" w:rsidR="00D3782C" w:rsidRPr="00FB717D" w:rsidRDefault="00D3782C" w:rsidP="00D3782C">
      <w:pPr>
        <w:pStyle w:val="ListParagraph"/>
        <w:numPr>
          <w:ilvl w:val="0"/>
          <w:numId w:val="33"/>
        </w:numPr>
      </w:pPr>
      <w:r w:rsidRPr="00FB717D">
        <w:t>Resurfacing an entire roof (even if it is replaced with the same type of material that previously existed)</w:t>
      </w:r>
    </w:p>
    <w:p w14:paraId="14C6DD09" w14:textId="77777777" w:rsidR="00D3782C" w:rsidRPr="00FB717D" w:rsidRDefault="00D3782C" w:rsidP="00D3782C">
      <w:pPr>
        <w:ind w:left="1440"/>
      </w:pPr>
      <w:r w:rsidRPr="002B47A9">
        <w:t>Note: Research facilities must be componentized, meaning asset components are grouped and depreciated in separate categories with differing useful lives. Such components include the shell, roof, finishes, fixed equipment and services. Depreciation methods and corresponding useful lives are disc</w:t>
      </w:r>
      <w:r w:rsidRPr="00806C53">
        <w:t xml:space="preserve">ussed in </w:t>
      </w:r>
      <w:hyperlink w:anchor="Appendix_C_Depreciating" w:history="1">
        <w:r w:rsidRPr="00806C53">
          <w:rPr>
            <w:rStyle w:val="Hyperlink"/>
            <w:rFonts w:cstheme="minorHAnsi"/>
          </w:rPr>
          <w:t>Appendix C</w:t>
        </w:r>
      </w:hyperlink>
      <w:r w:rsidRPr="002B47A9">
        <w:t xml:space="preserve"> of this policy.</w:t>
      </w:r>
    </w:p>
    <w:p w14:paraId="2C1A5286" w14:textId="77777777" w:rsidR="00D3782C" w:rsidRPr="00FB717D" w:rsidRDefault="00D3782C" w:rsidP="00D3782C">
      <w:pPr>
        <w:ind w:left="1440"/>
      </w:pPr>
      <w:r w:rsidRPr="00FB717D">
        <w:t>In contrast to the three broad improvement categories that qualify as capital expenditures, there are two major types of expenditures that DO NOT qualify as capital in nature and are to be expensed in the year incurred</w:t>
      </w:r>
      <w:r>
        <w:t>:</w:t>
      </w:r>
    </w:p>
    <w:p w14:paraId="08DCB7A0" w14:textId="77777777" w:rsidR="00D3782C" w:rsidRPr="00FB717D" w:rsidRDefault="00D3782C" w:rsidP="00D3782C">
      <w:pPr>
        <w:pStyle w:val="Level10"/>
      </w:pPr>
      <w:r w:rsidRPr="00FB717D">
        <w:t>Repairs and maintenance – costs associated with recurring work required to preserve or immediately restore a facility to such condition that it can be effectively used for its designated purpose (i.e., not a new purpose). Examples of repairs and maintenance work</w:t>
      </w:r>
      <w:r w:rsidRPr="00FB717D">
        <w:rPr>
          <w:spacing w:val="-24"/>
        </w:rPr>
        <w:t xml:space="preserve"> </w:t>
      </w:r>
      <w:r w:rsidRPr="00FB717D">
        <w:t>include:</w:t>
      </w:r>
    </w:p>
    <w:p w14:paraId="167D198B" w14:textId="77777777" w:rsidR="00D3782C" w:rsidRPr="00FB717D" w:rsidRDefault="00D3782C" w:rsidP="00D3782C">
      <w:pPr>
        <w:pStyle w:val="ListParagraph"/>
        <w:numPr>
          <w:ilvl w:val="0"/>
          <w:numId w:val="34"/>
        </w:numPr>
      </w:pPr>
      <w:r w:rsidRPr="00FB717D">
        <w:t>Repairs made to prevent damage to a</w:t>
      </w:r>
      <w:r w:rsidRPr="00811CCC">
        <w:rPr>
          <w:spacing w:val="-24"/>
        </w:rPr>
        <w:t xml:space="preserve"> </w:t>
      </w:r>
      <w:r w:rsidRPr="00FB717D">
        <w:t>facility</w:t>
      </w:r>
    </w:p>
    <w:p w14:paraId="5849A79C" w14:textId="77777777" w:rsidR="00D3782C" w:rsidRPr="00FB717D" w:rsidRDefault="00D3782C" w:rsidP="00D3782C">
      <w:pPr>
        <w:pStyle w:val="ListParagraph"/>
        <w:numPr>
          <w:ilvl w:val="0"/>
          <w:numId w:val="34"/>
        </w:numPr>
      </w:pPr>
      <w:r w:rsidRPr="00FB717D">
        <w:t>Custodial</w:t>
      </w:r>
      <w:r w:rsidRPr="00811CCC">
        <w:rPr>
          <w:spacing w:val="-10"/>
        </w:rPr>
        <w:t xml:space="preserve"> </w:t>
      </w:r>
      <w:r w:rsidRPr="00FB717D">
        <w:t>services</w:t>
      </w:r>
    </w:p>
    <w:p w14:paraId="1CAFFBC4" w14:textId="77777777" w:rsidR="00D3782C" w:rsidRPr="00FB717D" w:rsidRDefault="00D3782C" w:rsidP="00D3782C">
      <w:pPr>
        <w:pStyle w:val="ListParagraph"/>
        <w:numPr>
          <w:ilvl w:val="0"/>
          <w:numId w:val="34"/>
        </w:numPr>
      </w:pPr>
      <w:r w:rsidRPr="00FB717D">
        <w:t>A leaky faucet</w:t>
      </w:r>
      <w:r w:rsidRPr="00811CCC">
        <w:rPr>
          <w:spacing w:val="-12"/>
        </w:rPr>
        <w:t xml:space="preserve"> </w:t>
      </w:r>
      <w:r w:rsidRPr="00FB717D">
        <w:t>repair</w:t>
      </w:r>
    </w:p>
    <w:p w14:paraId="265A5DDB" w14:textId="77777777" w:rsidR="00D3782C" w:rsidRPr="00FB717D" w:rsidRDefault="00D3782C" w:rsidP="00D3782C">
      <w:pPr>
        <w:pStyle w:val="ListParagraph"/>
        <w:numPr>
          <w:ilvl w:val="0"/>
          <w:numId w:val="34"/>
        </w:numPr>
      </w:pPr>
      <w:r w:rsidRPr="00FB717D">
        <w:t>Replacement of minor</w:t>
      </w:r>
      <w:r w:rsidRPr="00811CCC">
        <w:rPr>
          <w:spacing w:val="-12"/>
        </w:rPr>
        <w:t xml:space="preserve"> </w:t>
      </w:r>
      <w:r w:rsidRPr="00FB717D">
        <w:t>parts</w:t>
      </w:r>
    </w:p>
    <w:p w14:paraId="73CF5141" w14:textId="77777777" w:rsidR="00D3782C" w:rsidRPr="00FB717D" w:rsidRDefault="00D3782C" w:rsidP="00D3782C">
      <w:pPr>
        <w:pStyle w:val="ListParagraph"/>
        <w:numPr>
          <w:ilvl w:val="0"/>
          <w:numId w:val="34"/>
        </w:numPr>
      </w:pPr>
      <w:r w:rsidRPr="00FB717D">
        <w:t>Replacement of a worn-out</w:t>
      </w:r>
      <w:r w:rsidRPr="00811CCC">
        <w:rPr>
          <w:spacing w:val="-16"/>
        </w:rPr>
        <w:t xml:space="preserve"> </w:t>
      </w:r>
      <w:r w:rsidRPr="00FB717D">
        <w:t>rug</w:t>
      </w:r>
    </w:p>
    <w:p w14:paraId="736D1B61" w14:textId="77777777" w:rsidR="00D3782C" w:rsidRPr="00FB717D" w:rsidRDefault="00D3782C" w:rsidP="00D3782C">
      <w:pPr>
        <w:pStyle w:val="ListParagraph"/>
        <w:numPr>
          <w:ilvl w:val="0"/>
          <w:numId w:val="34"/>
        </w:numPr>
      </w:pPr>
      <w:r w:rsidRPr="00FB717D">
        <w:t>Redecoration</w:t>
      </w:r>
      <w:r w:rsidRPr="00811CCC">
        <w:rPr>
          <w:spacing w:val="-3"/>
        </w:rPr>
        <w:t xml:space="preserve"> </w:t>
      </w:r>
      <w:r w:rsidRPr="00FB717D">
        <w:t>or</w:t>
      </w:r>
      <w:r w:rsidRPr="00811CCC">
        <w:rPr>
          <w:spacing w:val="-4"/>
        </w:rPr>
        <w:t xml:space="preserve"> </w:t>
      </w:r>
      <w:r w:rsidRPr="00FB717D">
        <w:t>remodeling</w:t>
      </w:r>
      <w:r w:rsidRPr="00811CCC">
        <w:rPr>
          <w:spacing w:val="-2"/>
        </w:rPr>
        <w:t xml:space="preserve"> </w:t>
      </w:r>
      <w:r w:rsidRPr="00FB717D">
        <w:t>without</w:t>
      </w:r>
      <w:r w:rsidRPr="00811CCC">
        <w:rPr>
          <w:spacing w:val="-4"/>
        </w:rPr>
        <w:t xml:space="preserve"> </w:t>
      </w:r>
      <w:r w:rsidRPr="00FB717D">
        <w:t>a</w:t>
      </w:r>
      <w:r w:rsidRPr="00811CCC">
        <w:rPr>
          <w:spacing w:val="-4"/>
        </w:rPr>
        <w:t xml:space="preserve"> </w:t>
      </w:r>
      <w:r w:rsidRPr="00FB717D">
        <w:t>change</w:t>
      </w:r>
      <w:r w:rsidRPr="00811CCC">
        <w:rPr>
          <w:spacing w:val="-5"/>
        </w:rPr>
        <w:t xml:space="preserve"> </w:t>
      </w:r>
      <w:r w:rsidRPr="00FB717D">
        <w:t>in</w:t>
      </w:r>
      <w:r w:rsidRPr="00811CCC">
        <w:rPr>
          <w:spacing w:val="-3"/>
        </w:rPr>
        <w:t xml:space="preserve"> </w:t>
      </w:r>
      <w:r w:rsidRPr="00FB717D">
        <w:t>purpose</w:t>
      </w:r>
      <w:r w:rsidRPr="00811CCC">
        <w:rPr>
          <w:spacing w:val="-5"/>
        </w:rPr>
        <w:t xml:space="preserve"> </w:t>
      </w:r>
      <w:r w:rsidRPr="00FB717D">
        <w:t>and</w:t>
      </w:r>
      <w:r w:rsidRPr="00811CCC">
        <w:rPr>
          <w:spacing w:val="-3"/>
        </w:rPr>
        <w:t xml:space="preserve"> </w:t>
      </w:r>
      <w:r w:rsidRPr="00FB717D">
        <w:t>not</w:t>
      </w:r>
      <w:r w:rsidRPr="00811CCC">
        <w:rPr>
          <w:spacing w:val="-4"/>
        </w:rPr>
        <w:t xml:space="preserve"> </w:t>
      </w:r>
      <w:r w:rsidRPr="00FB717D">
        <w:t>associated</w:t>
      </w:r>
      <w:r w:rsidRPr="00811CCC">
        <w:rPr>
          <w:spacing w:val="-3"/>
        </w:rPr>
        <w:t xml:space="preserve"> </w:t>
      </w:r>
      <w:r w:rsidRPr="00FB717D">
        <w:t>with</w:t>
      </w:r>
      <w:r w:rsidRPr="00811CCC">
        <w:rPr>
          <w:spacing w:val="-3"/>
        </w:rPr>
        <w:t xml:space="preserve"> </w:t>
      </w:r>
      <w:r w:rsidRPr="00FB717D">
        <w:t>a</w:t>
      </w:r>
      <w:r w:rsidRPr="00811CCC">
        <w:rPr>
          <w:spacing w:val="-4"/>
        </w:rPr>
        <w:t xml:space="preserve"> </w:t>
      </w:r>
      <w:r w:rsidRPr="00FB717D">
        <w:t>larger</w:t>
      </w:r>
      <w:r w:rsidRPr="00811CCC">
        <w:rPr>
          <w:spacing w:val="-4"/>
        </w:rPr>
        <w:t xml:space="preserve"> </w:t>
      </w:r>
      <w:r w:rsidRPr="00FB717D">
        <w:t>renovation project</w:t>
      </w:r>
    </w:p>
    <w:p w14:paraId="3BC04050" w14:textId="77777777" w:rsidR="00D3782C" w:rsidRPr="00FB717D" w:rsidRDefault="00D3782C" w:rsidP="00D3782C">
      <w:pPr>
        <w:pStyle w:val="ListParagraph"/>
        <w:numPr>
          <w:ilvl w:val="0"/>
          <w:numId w:val="34"/>
        </w:numPr>
      </w:pPr>
      <w:r w:rsidRPr="00FB717D">
        <w:t>Repainting or</w:t>
      </w:r>
      <w:r w:rsidRPr="00811CCC">
        <w:rPr>
          <w:spacing w:val="-18"/>
        </w:rPr>
        <w:t xml:space="preserve"> </w:t>
      </w:r>
      <w:r w:rsidRPr="00FB717D">
        <w:t>wallpapering</w:t>
      </w:r>
    </w:p>
    <w:p w14:paraId="59702270" w14:textId="77777777" w:rsidR="00D3782C" w:rsidRPr="00FB717D" w:rsidRDefault="00D3782C" w:rsidP="00D3782C">
      <w:pPr>
        <w:pStyle w:val="ListParagraph"/>
        <w:numPr>
          <w:ilvl w:val="0"/>
          <w:numId w:val="34"/>
        </w:numPr>
      </w:pPr>
      <w:r w:rsidRPr="00FB717D">
        <w:t>Installation of wall-to-wall</w:t>
      </w:r>
      <w:r w:rsidRPr="00811CCC">
        <w:rPr>
          <w:spacing w:val="-20"/>
        </w:rPr>
        <w:t xml:space="preserve"> </w:t>
      </w:r>
      <w:r w:rsidRPr="00FB717D">
        <w:t>carpeting</w:t>
      </w:r>
    </w:p>
    <w:p w14:paraId="3DE619AD" w14:textId="77777777" w:rsidR="00D3782C" w:rsidRPr="00FB717D" w:rsidRDefault="00D3782C" w:rsidP="00D3782C">
      <w:pPr>
        <w:ind w:left="1080"/>
      </w:pPr>
      <w:r w:rsidRPr="00FB717D">
        <w:t xml:space="preserve">Note that in practice, invoices for repair and maintenance projects sometimes include equipment-type assets that, on their own, would qualify for capitalization. </w:t>
      </w:r>
    </w:p>
    <w:p w14:paraId="3F73C668" w14:textId="77777777" w:rsidR="00D3782C" w:rsidRPr="00FB717D" w:rsidRDefault="00D3782C" w:rsidP="00D3782C">
      <w:pPr>
        <w:pStyle w:val="Level10"/>
      </w:pPr>
      <w:r w:rsidRPr="00FB717D">
        <w:t>Preservation</w:t>
      </w:r>
      <w:r w:rsidRPr="00FB717D">
        <w:rPr>
          <w:spacing w:val="-3"/>
        </w:rPr>
        <w:t xml:space="preserve"> </w:t>
      </w:r>
      <w:r w:rsidRPr="00FB717D">
        <w:t>and</w:t>
      </w:r>
      <w:r w:rsidRPr="00FB717D">
        <w:rPr>
          <w:spacing w:val="-3"/>
        </w:rPr>
        <w:t xml:space="preserve"> </w:t>
      </w:r>
      <w:r w:rsidRPr="00FB717D">
        <w:t>restoration</w:t>
      </w:r>
      <w:r w:rsidRPr="00FB717D">
        <w:rPr>
          <w:spacing w:val="-1"/>
        </w:rPr>
        <w:t xml:space="preserve"> </w:t>
      </w:r>
      <w:r w:rsidRPr="00FB717D">
        <w:t>–</w:t>
      </w:r>
      <w:r w:rsidRPr="00FB717D">
        <w:rPr>
          <w:spacing w:val="-5"/>
        </w:rPr>
        <w:t xml:space="preserve"> </w:t>
      </w:r>
      <w:r w:rsidRPr="00FB717D">
        <w:t>costs</w:t>
      </w:r>
      <w:r w:rsidRPr="00FB717D">
        <w:rPr>
          <w:spacing w:val="-5"/>
        </w:rPr>
        <w:t xml:space="preserve"> </w:t>
      </w:r>
      <w:r w:rsidRPr="00FB717D">
        <w:t>associated</w:t>
      </w:r>
      <w:r w:rsidRPr="00FB717D">
        <w:rPr>
          <w:spacing w:val="-3"/>
        </w:rPr>
        <w:t xml:space="preserve"> </w:t>
      </w:r>
      <w:r w:rsidRPr="00FB717D">
        <w:t>with</w:t>
      </w:r>
      <w:r w:rsidRPr="00FB717D">
        <w:rPr>
          <w:spacing w:val="-3"/>
        </w:rPr>
        <w:t xml:space="preserve"> </w:t>
      </w:r>
      <w:r w:rsidRPr="00FB717D">
        <w:t>maintaining</w:t>
      </w:r>
      <w:r w:rsidRPr="00FB717D">
        <w:rPr>
          <w:spacing w:val="-4"/>
        </w:rPr>
        <w:t xml:space="preserve"> </w:t>
      </w:r>
      <w:r w:rsidRPr="00FB717D">
        <w:rPr>
          <w:i/>
        </w:rPr>
        <w:t>special</w:t>
      </w:r>
      <w:r w:rsidRPr="00FB717D">
        <w:rPr>
          <w:i/>
          <w:spacing w:val="-5"/>
        </w:rPr>
        <w:t xml:space="preserve"> </w:t>
      </w:r>
      <w:r w:rsidRPr="00FB717D">
        <w:rPr>
          <w:i/>
        </w:rPr>
        <w:t>assets</w:t>
      </w:r>
      <w:r w:rsidRPr="00FB717D">
        <w:rPr>
          <w:i/>
          <w:spacing w:val="-5"/>
        </w:rPr>
        <w:t xml:space="preserve"> </w:t>
      </w:r>
      <w:r w:rsidRPr="00FB717D">
        <w:t>(e.g.,</w:t>
      </w:r>
      <w:r w:rsidRPr="00FB717D">
        <w:rPr>
          <w:spacing w:val="-4"/>
        </w:rPr>
        <w:t xml:space="preserve"> </w:t>
      </w:r>
      <w:r w:rsidRPr="00FB717D">
        <w:t>works</w:t>
      </w:r>
      <w:r w:rsidRPr="00FB717D">
        <w:rPr>
          <w:spacing w:val="-5"/>
        </w:rPr>
        <w:t xml:space="preserve"> </w:t>
      </w:r>
      <w:r w:rsidRPr="00FB717D">
        <w:t>of</w:t>
      </w:r>
      <w:r w:rsidRPr="00FB717D">
        <w:rPr>
          <w:spacing w:val="-5"/>
        </w:rPr>
        <w:t xml:space="preserve"> </w:t>
      </w:r>
      <w:r w:rsidRPr="00FB717D">
        <w:t>art)</w:t>
      </w:r>
      <w:r w:rsidRPr="00FB717D">
        <w:rPr>
          <w:spacing w:val="-4"/>
        </w:rPr>
        <w:t xml:space="preserve"> </w:t>
      </w:r>
      <w:r w:rsidRPr="00FB717D">
        <w:t>or</w:t>
      </w:r>
      <w:r w:rsidRPr="00FB717D">
        <w:rPr>
          <w:spacing w:val="-4"/>
        </w:rPr>
        <w:t xml:space="preserve"> </w:t>
      </w:r>
      <w:r w:rsidRPr="00FB717D">
        <w:t>returning them to a level of quality as close to their original state as possible. Examples of preservation and restoration include:</w:t>
      </w:r>
    </w:p>
    <w:p w14:paraId="578F6556" w14:textId="77777777" w:rsidR="00D3782C" w:rsidRPr="00FB717D" w:rsidRDefault="00D3782C" w:rsidP="00D3782C">
      <w:pPr>
        <w:pStyle w:val="ListParagraph"/>
        <w:numPr>
          <w:ilvl w:val="0"/>
          <w:numId w:val="35"/>
        </w:numPr>
      </w:pPr>
      <w:r w:rsidRPr="00FB717D">
        <w:t>Returning</w:t>
      </w:r>
      <w:r w:rsidRPr="004620C3">
        <w:rPr>
          <w:spacing w:val="-4"/>
        </w:rPr>
        <w:t xml:space="preserve"> </w:t>
      </w:r>
      <w:r w:rsidRPr="00FB717D">
        <w:t>a</w:t>
      </w:r>
      <w:r w:rsidRPr="004620C3">
        <w:rPr>
          <w:spacing w:val="-3"/>
        </w:rPr>
        <w:t xml:space="preserve"> </w:t>
      </w:r>
      <w:proofErr w:type="gramStart"/>
      <w:r w:rsidRPr="00FB717D">
        <w:t>stained</w:t>
      </w:r>
      <w:r w:rsidRPr="004620C3">
        <w:rPr>
          <w:spacing w:val="-3"/>
        </w:rPr>
        <w:t xml:space="preserve"> </w:t>
      </w:r>
      <w:r w:rsidRPr="00FB717D">
        <w:t>glass</w:t>
      </w:r>
      <w:proofErr w:type="gramEnd"/>
      <w:r w:rsidRPr="004620C3">
        <w:rPr>
          <w:spacing w:val="-5"/>
        </w:rPr>
        <w:t xml:space="preserve"> </w:t>
      </w:r>
      <w:r w:rsidRPr="00FB717D">
        <w:t>window</w:t>
      </w:r>
      <w:r w:rsidRPr="004620C3">
        <w:rPr>
          <w:spacing w:val="-5"/>
        </w:rPr>
        <w:t xml:space="preserve"> </w:t>
      </w:r>
      <w:r w:rsidRPr="00FB717D">
        <w:t>to</w:t>
      </w:r>
      <w:r w:rsidRPr="004620C3">
        <w:rPr>
          <w:spacing w:val="-4"/>
        </w:rPr>
        <w:t xml:space="preserve"> </w:t>
      </w:r>
      <w:r w:rsidRPr="00FB717D">
        <w:t>its</w:t>
      </w:r>
      <w:r w:rsidRPr="004620C3">
        <w:rPr>
          <w:spacing w:val="-5"/>
        </w:rPr>
        <w:t xml:space="preserve"> </w:t>
      </w:r>
      <w:r w:rsidRPr="00FB717D">
        <w:t>former</w:t>
      </w:r>
      <w:r w:rsidRPr="004620C3">
        <w:rPr>
          <w:spacing w:val="-4"/>
        </w:rPr>
        <w:t xml:space="preserve"> </w:t>
      </w:r>
      <w:r w:rsidRPr="00FB717D">
        <w:t>level</w:t>
      </w:r>
      <w:r w:rsidRPr="004620C3">
        <w:rPr>
          <w:spacing w:val="-4"/>
        </w:rPr>
        <w:t xml:space="preserve"> </w:t>
      </w:r>
      <w:r w:rsidRPr="00FB717D">
        <w:t>of</w:t>
      </w:r>
      <w:r w:rsidRPr="004620C3">
        <w:rPr>
          <w:spacing w:val="-5"/>
        </w:rPr>
        <w:t xml:space="preserve"> </w:t>
      </w:r>
      <w:r w:rsidRPr="00FB717D">
        <w:t>beauty</w:t>
      </w:r>
      <w:r w:rsidRPr="004620C3">
        <w:rPr>
          <w:spacing w:val="-3"/>
        </w:rPr>
        <w:t xml:space="preserve"> </w:t>
      </w:r>
      <w:r w:rsidRPr="00FB717D">
        <w:t>or</w:t>
      </w:r>
      <w:r w:rsidRPr="004620C3">
        <w:rPr>
          <w:spacing w:val="-4"/>
        </w:rPr>
        <w:t xml:space="preserve"> </w:t>
      </w:r>
      <w:r w:rsidRPr="00FB717D">
        <w:t>acting</w:t>
      </w:r>
      <w:r w:rsidRPr="004620C3">
        <w:rPr>
          <w:spacing w:val="-4"/>
        </w:rPr>
        <w:t xml:space="preserve"> </w:t>
      </w:r>
      <w:r w:rsidRPr="00FB717D">
        <w:t>to</w:t>
      </w:r>
      <w:r w:rsidRPr="004620C3">
        <w:rPr>
          <w:spacing w:val="-4"/>
        </w:rPr>
        <w:t xml:space="preserve"> </w:t>
      </w:r>
      <w:r w:rsidRPr="00FB717D">
        <w:t>prevent</w:t>
      </w:r>
      <w:r w:rsidRPr="004620C3">
        <w:rPr>
          <w:spacing w:val="-4"/>
        </w:rPr>
        <w:t xml:space="preserve"> </w:t>
      </w:r>
      <w:r w:rsidRPr="00FB717D">
        <w:t>further</w:t>
      </w:r>
      <w:r w:rsidRPr="004620C3">
        <w:rPr>
          <w:spacing w:val="-4"/>
        </w:rPr>
        <w:t xml:space="preserve"> </w:t>
      </w:r>
      <w:r w:rsidRPr="00FB717D">
        <w:t>deterioration</w:t>
      </w:r>
    </w:p>
    <w:p w14:paraId="332F811D" w14:textId="77777777" w:rsidR="00D3782C" w:rsidRPr="00FB717D" w:rsidRDefault="00D3782C" w:rsidP="00D3782C">
      <w:pPr>
        <w:pStyle w:val="ListParagraph"/>
        <w:numPr>
          <w:ilvl w:val="0"/>
          <w:numId w:val="35"/>
        </w:numPr>
      </w:pPr>
      <w:r w:rsidRPr="00FB717D">
        <w:t>Cleaning a</w:t>
      </w:r>
      <w:r w:rsidRPr="004620C3">
        <w:rPr>
          <w:spacing w:val="-12"/>
        </w:rPr>
        <w:t xml:space="preserve"> </w:t>
      </w:r>
      <w:r w:rsidRPr="00FB717D">
        <w:t>painting</w:t>
      </w:r>
    </w:p>
    <w:p w14:paraId="40790C74" w14:textId="77777777" w:rsidR="00D3782C" w:rsidRPr="00FB717D" w:rsidRDefault="00D3782C" w:rsidP="00D3782C">
      <w:pPr>
        <w:ind w:left="1080"/>
      </w:pPr>
      <w:r w:rsidRPr="00FB717D">
        <w:t xml:space="preserve">Harvard does not </w:t>
      </w:r>
      <w:proofErr w:type="gramStart"/>
      <w:r w:rsidRPr="00FB717D">
        <w:t>capitalize</w:t>
      </w:r>
      <w:proofErr w:type="gramEnd"/>
      <w:r w:rsidRPr="00FB717D">
        <w:t xml:space="preserve"> its collections, and as such, related preservation and restoration costs are expensed as incurred. For more information on collections accounting, contact the </w:t>
      </w:r>
      <w:hyperlink r:id="rId13" w:history="1">
        <w:r w:rsidRPr="00FB717D">
          <w:rPr>
            <w:rStyle w:val="Hyperlink"/>
            <w:rFonts w:cstheme="minorHAnsi"/>
          </w:rPr>
          <w:t>Associate Director for Accounting Operations</w:t>
        </w:r>
      </w:hyperlink>
      <w:r w:rsidRPr="00FB717D">
        <w:t>.</w:t>
      </w:r>
    </w:p>
    <w:p w14:paraId="7EDF8C96" w14:textId="77777777" w:rsidR="00D3782C" w:rsidRDefault="00D3782C" w:rsidP="00E12136">
      <w:pPr>
        <w:pStyle w:val="LevelA0"/>
      </w:pPr>
      <w:r w:rsidRPr="00FB717D">
        <w:lastRenderedPageBreak/>
        <w:t>Capital Leases</w:t>
      </w:r>
    </w:p>
    <w:p w14:paraId="61215D83" w14:textId="77777777" w:rsidR="00D3782C" w:rsidRPr="00FB717D" w:rsidRDefault="00D3782C" w:rsidP="00D3782C">
      <w:pPr>
        <w:ind w:left="720"/>
      </w:pPr>
      <w:r w:rsidRPr="00FB717D">
        <w:t>Capital leases require special handling as FAR will need to create a placeholder asset and</w:t>
      </w:r>
      <w:r>
        <w:t xml:space="preserve"> </w:t>
      </w:r>
      <w:r w:rsidRPr="00FB717D">
        <w:t>corresponding lease obligation on behalf of the School/</w:t>
      </w:r>
      <w:r>
        <w:t>School/unit</w:t>
      </w:r>
      <w:r w:rsidRPr="00FB717D">
        <w:t xml:space="preserve">. See the </w:t>
      </w:r>
      <w:hyperlink r:id="rId14">
        <w:r>
          <w:rPr>
            <w:color w:val="0000FF"/>
            <w:u w:val="single"/>
          </w:rPr>
          <w:t>Lease Accounting Policy</w:t>
        </w:r>
      </w:hyperlink>
      <w:r>
        <w:rPr>
          <w:color w:val="0000FF"/>
        </w:rPr>
        <w:t xml:space="preserve"> </w:t>
      </w:r>
      <w:r w:rsidRPr="00FB717D">
        <w:t>for more information.</w:t>
      </w:r>
    </w:p>
    <w:p w14:paraId="580D50B7" w14:textId="77777777" w:rsidR="00D3782C" w:rsidRPr="00FB717D" w:rsidRDefault="00D3782C" w:rsidP="00E12136">
      <w:pPr>
        <w:pStyle w:val="LevelA0"/>
      </w:pPr>
      <w:r w:rsidRPr="00FB717D">
        <w:t>Leasehold Improvements (LHIs)</w:t>
      </w:r>
    </w:p>
    <w:p w14:paraId="11DE6C6D" w14:textId="77777777" w:rsidR="00D3782C" w:rsidRPr="00FB717D" w:rsidRDefault="00D3782C" w:rsidP="00D3782C">
      <w:pPr>
        <w:ind w:left="720"/>
      </w:pPr>
      <w:r w:rsidRPr="00314ADB">
        <w:t xml:space="preserve">The same procedures for determining whether renovations can be capitalized or expensed apply to improvements made by a University school or unit to property not owned by that school or unit. This applies to space improvements in University-owned buildings pursuant to an occupancy arrangement between Harvard schools and units. Generally, improvements made to leased premises are capitalized if they meet these criteria and qualify as alterations, renovations, renewals or replacements. These leasehold improvements are depreciated over the life of the asset or the external lease term plus tenant extensions, whichever is shorter. The school or unit preforming the leasehold improvement is responsible for those costs, and if the school or unit leaves the space prior to these assets being fully depreciated, then the impairment goes onto the school or </w:t>
      </w:r>
      <w:proofErr w:type="gramStart"/>
      <w:r w:rsidRPr="00314ADB">
        <w:t>units</w:t>
      </w:r>
      <w:proofErr w:type="gramEnd"/>
      <w:r w:rsidRPr="00314ADB">
        <w:t xml:space="preserve"> books (charged to object code 8722). If another Harvard entity occupies the space, then the leasehold improvement is transferred to the new occupant and depreciated over the remaining life. If the new occupant renovates the space (within the first 6 months of the lease transfer), the impairment will be on the original school or </w:t>
      </w:r>
      <w:proofErr w:type="gramStart"/>
      <w:r w:rsidRPr="00314ADB">
        <w:t>units</w:t>
      </w:r>
      <w:proofErr w:type="gramEnd"/>
      <w:r w:rsidRPr="00314ADB">
        <w:t xml:space="preserve"> books.</w:t>
      </w:r>
      <w:r w:rsidRPr="00FB717D">
        <w:t xml:space="preserve"> </w:t>
      </w:r>
    </w:p>
    <w:p w14:paraId="1CF25350" w14:textId="77777777" w:rsidR="00D3782C" w:rsidRDefault="00D3782C" w:rsidP="00E12136">
      <w:pPr>
        <w:pStyle w:val="LevelA0"/>
      </w:pPr>
      <w:r w:rsidRPr="00FB717D">
        <w:t>Equipment</w:t>
      </w:r>
    </w:p>
    <w:p w14:paraId="1772E301" w14:textId="77777777" w:rsidR="00D3782C" w:rsidRPr="00FB717D" w:rsidRDefault="00D3782C" w:rsidP="00D3782C">
      <w:pPr>
        <w:pStyle w:val="Level10"/>
        <w:numPr>
          <w:ilvl w:val="0"/>
          <w:numId w:val="36"/>
        </w:numPr>
      </w:pPr>
      <w:r w:rsidRPr="00FB717D">
        <w:t>If acquired by purchase</w:t>
      </w:r>
    </w:p>
    <w:p w14:paraId="2D7B6705" w14:textId="16B93172" w:rsidR="00D3782C" w:rsidRPr="00FB717D" w:rsidRDefault="00D3782C" w:rsidP="00D3782C">
      <w:pPr>
        <w:ind w:left="1080"/>
      </w:pPr>
      <w:proofErr w:type="gramStart"/>
      <w:r w:rsidRPr="00FB717D">
        <w:t>Equipment purchases</w:t>
      </w:r>
      <w:proofErr w:type="gramEnd"/>
      <w:r w:rsidRPr="00FB717D">
        <w:t xml:space="preserve"> include items such as machinery, equipment, furniture and fixtures. The following costs are applied towards the acquisition cost and should be capitalized </w:t>
      </w:r>
      <w:proofErr w:type="gramStart"/>
      <w:r w:rsidRPr="00FB717D">
        <w:t>with</w:t>
      </w:r>
      <w:proofErr w:type="gramEnd"/>
      <w:r w:rsidRPr="00FB717D">
        <w:t xml:space="preserve"> the equipment upon acquisition:</w:t>
      </w:r>
    </w:p>
    <w:p w14:paraId="722BF37E" w14:textId="74191919" w:rsidR="00D3782C" w:rsidRPr="00E521BD" w:rsidRDefault="00D3782C" w:rsidP="00D3782C">
      <w:pPr>
        <w:pStyle w:val="ListParagraph"/>
        <w:numPr>
          <w:ilvl w:val="0"/>
          <w:numId w:val="37"/>
        </w:numPr>
        <w:ind w:left="1440"/>
        <w:rPr>
          <w:bCs/>
        </w:rPr>
      </w:pPr>
      <w:r w:rsidRPr="00FB717D">
        <w:t>The original purchase price (</w:t>
      </w:r>
      <w:r>
        <w:t>f</w:t>
      </w:r>
      <w:r w:rsidRPr="00FB717D">
        <w:t xml:space="preserve">or individual items </w:t>
      </w:r>
      <w:r w:rsidR="001C36D1">
        <w:t>that meet or exceed the applicable capitalization threshold</w:t>
      </w:r>
      <w:r w:rsidRPr="00FB717D">
        <w:t xml:space="preserve"> or for fixed equipment ≥ $100,000)</w:t>
      </w:r>
    </w:p>
    <w:p w14:paraId="1B293052" w14:textId="77777777" w:rsidR="00D3782C" w:rsidRPr="00E521BD" w:rsidRDefault="00D3782C" w:rsidP="00D3782C">
      <w:pPr>
        <w:pStyle w:val="ListParagraph"/>
        <w:numPr>
          <w:ilvl w:val="0"/>
          <w:numId w:val="37"/>
        </w:numPr>
        <w:ind w:left="1440"/>
        <w:rPr>
          <w:bCs/>
        </w:rPr>
      </w:pPr>
      <w:r w:rsidRPr="00FB717D">
        <w:t>Freight, insurance, handling, storage, brokerage fees and other costs specifically related to acquiring the assets (e.g., protective in-transit insurance, legal or customs fees)</w:t>
      </w:r>
    </w:p>
    <w:p w14:paraId="162F83E5" w14:textId="77777777" w:rsidR="00D3782C" w:rsidRPr="00E521BD" w:rsidRDefault="00D3782C" w:rsidP="00D3782C">
      <w:pPr>
        <w:pStyle w:val="ListParagraph"/>
        <w:numPr>
          <w:ilvl w:val="0"/>
          <w:numId w:val="37"/>
        </w:numPr>
        <w:ind w:left="1440"/>
        <w:rPr>
          <w:bCs/>
        </w:rPr>
      </w:pPr>
      <w:r w:rsidRPr="00FB717D">
        <w:t>Costs of installation including site preparation, assembly and installation</w:t>
      </w:r>
    </w:p>
    <w:p w14:paraId="37E3B452" w14:textId="77777777" w:rsidR="00D3782C" w:rsidRPr="00E521BD" w:rsidRDefault="00D3782C" w:rsidP="00D3782C">
      <w:pPr>
        <w:pStyle w:val="ListParagraph"/>
        <w:numPr>
          <w:ilvl w:val="0"/>
          <w:numId w:val="37"/>
        </w:numPr>
        <w:ind w:left="1440"/>
        <w:rPr>
          <w:bCs/>
        </w:rPr>
      </w:pPr>
      <w:r w:rsidRPr="00FB717D">
        <w:t>Costs of trial runs and other tests required before the asset can be fully operational</w:t>
      </w:r>
    </w:p>
    <w:p w14:paraId="3589763F" w14:textId="59D7B72B" w:rsidR="00D3782C" w:rsidRPr="00E521BD" w:rsidRDefault="00D3782C" w:rsidP="00D3782C">
      <w:pPr>
        <w:pStyle w:val="ListParagraph"/>
        <w:numPr>
          <w:ilvl w:val="0"/>
          <w:numId w:val="37"/>
        </w:numPr>
        <w:ind w:left="1440"/>
        <w:rPr>
          <w:bCs/>
        </w:rPr>
      </w:pPr>
      <w:r w:rsidRPr="00FB717D">
        <w:t xml:space="preserve">Costs of reconditioning and asset purchased in a used state (original price must </w:t>
      </w:r>
      <w:r w:rsidR="0091328E">
        <w:t>meet or exceed the applicable capitalization threshold)</w:t>
      </w:r>
    </w:p>
    <w:p w14:paraId="758A1B29" w14:textId="77777777" w:rsidR="00D3782C" w:rsidRPr="00E521BD" w:rsidRDefault="00D3782C" w:rsidP="00D3782C">
      <w:pPr>
        <w:pStyle w:val="ListParagraph"/>
        <w:numPr>
          <w:ilvl w:val="0"/>
          <w:numId w:val="37"/>
        </w:numPr>
        <w:ind w:left="1440"/>
        <w:rPr>
          <w:bCs/>
        </w:rPr>
      </w:pPr>
      <w:r w:rsidRPr="00FB717D">
        <w:t>Modifications, attachments, accessories or auxiliary apparatus at the time of purchase that are necessary to make the item usable for its intended purpose</w:t>
      </w:r>
    </w:p>
    <w:p w14:paraId="4E40F0A6" w14:textId="489E79A4" w:rsidR="00D3782C" w:rsidRPr="00E521BD" w:rsidRDefault="00D3782C" w:rsidP="00D3782C">
      <w:pPr>
        <w:pStyle w:val="ListParagraph"/>
        <w:numPr>
          <w:ilvl w:val="0"/>
          <w:numId w:val="37"/>
        </w:numPr>
        <w:ind w:left="1440"/>
      </w:pPr>
      <w:r>
        <w:t xml:space="preserve">Upgrades or enhancements </w:t>
      </w:r>
      <w:r w:rsidR="00761ECA">
        <w:t>with</w:t>
      </w:r>
      <w:r>
        <w:t xml:space="preserve"> cost</w:t>
      </w:r>
      <w:r w:rsidR="502FE424">
        <w:t>s</w:t>
      </w:r>
      <w:r>
        <w:t xml:space="preserve"> </w:t>
      </w:r>
      <w:r w:rsidR="00761ECA">
        <w:t>equal to or greater than the applicable capitalization threshold</w:t>
      </w:r>
      <w:r>
        <w:t xml:space="preserve"> that </w:t>
      </w:r>
      <w:proofErr w:type="gramStart"/>
      <w:r>
        <w:t>increase</w:t>
      </w:r>
      <w:proofErr w:type="gramEnd"/>
      <w:r>
        <w:t xml:space="preserve"> the equipment’s useful life by one year or more</w:t>
      </w:r>
    </w:p>
    <w:p w14:paraId="2C5CFAC8" w14:textId="77777777" w:rsidR="00D3782C" w:rsidRPr="00FB717D" w:rsidRDefault="00D3782C" w:rsidP="00D3782C">
      <w:pPr>
        <w:ind w:left="1080"/>
        <w:rPr>
          <w:b/>
        </w:rPr>
      </w:pPr>
      <w:r w:rsidRPr="00FB717D">
        <w:t>Types of costs that</w:t>
      </w:r>
      <w:r w:rsidRPr="00FB717D">
        <w:rPr>
          <w:b/>
        </w:rPr>
        <w:t xml:space="preserve"> </w:t>
      </w:r>
      <w:r w:rsidRPr="00FB717D">
        <w:rPr>
          <w:b/>
          <w:i/>
        </w:rPr>
        <w:t>may not</w:t>
      </w:r>
      <w:r w:rsidRPr="00FB717D">
        <w:rPr>
          <w:b/>
        </w:rPr>
        <w:t xml:space="preserve"> </w:t>
      </w:r>
      <w:r w:rsidRPr="00FB717D">
        <w:t>be capitalized as equipment:</w:t>
      </w:r>
    </w:p>
    <w:p w14:paraId="060D8268" w14:textId="77777777" w:rsidR="00D3782C" w:rsidRPr="00FB717D" w:rsidRDefault="00D3782C" w:rsidP="00D3782C">
      <w:pPr>
        <w:pStyle w:val="ListParagraph"/>
        <w:numPr>
          <w:ilvl w:val="0"/>
          <w:numId w:val="38"/>
        </w:numPr>
      </w:pPr>
      <w:r w:rsidRPr="00FB717D">
        <w:t xml:space="preserve">Repair or maintenance costs </w:t>
      </w:r>
    </w:p>
    <w:p w14:paraId="4F5088A7" w14:textId="77777777" w:rsidR="00D3782C" w:rsidRPr="00FB717D" w:rsidRDefault="00D3782C" w:rsidP="00D3782C">
      <w:pPr>
        <w:pStyle w:val="ListParagraph"/>
        <w:numPr>
          <w:ilvl w:val="0"/>
          <w:numId w:val="38"/>
        </w:numPr>
      </w:pPr>
      <w:r w:rsidRPr="00FB717D">
        <w:t>Separate warranty costs or maintenance contracts</w:t>
      </w:r>
    </w:p>
    <w:p w14:paraId="5F974356" w14:textId="77777777" w:rsidR="00D3782C" w:rsidRPr="00FB717D" w:rsidRDefault="00D3782C" w:rsidP="00D3782C">
      <w:pPr>
        <w:pStyle w:val="ListParagraph"/>
        <w:numPr>
          <w:ilvl w:val="0"/>
          <w:numId w:val="38"/>
        </w:numPr>
      </w:pPr>
      <w:r w:rsidRPr="00FB717D">
        <w:t>Demolishing or dismantling costs</w:t>
      </w:r>
    </w:p>
    <w:p w14:paraId="48FF1DD2" w14:textId="77777777" w:rsidR="00D3782C" w:rsidRPr="00FB717D" w:rsidRDefault="00D3782C" w:rsidP="00D3782C">
      <w:pPr>
        <w:pStyle w:val="ListParagraph"/>
        <w:numPr>
          <w:ilvl w:val="0"/>
          <w:numId w:val="38"/>
        </w:numPr>
      </w:pPr>
      <w:r w:rsidRPr="00FB717D">
        <w:lastRenderedPageBreak/>
        <w:t>Spare or replacement parts</w:t>
      </w:r>
    </w:p>
    <w:p w14:paraId="7E27EA7C" w14:textId="77777777" w:rsidR="00D3782C" w:rsidRPr="00FB717D" w:rsidRDefault="00D3782C" w:rsidP="00D3782C">
      <w:pPr>
        <w:pStyle w:val="ListParagraph"/>
        <w:numPr>
          <w:ilvl w:val="0"/>
          <w:numId w:val="38"/>
        </w:numPr>
      </w:pPr>
      <w:r w:rsidRPr="00FB717D">
        <w:t>Fabrications as part of the sponsor-funded research and development</w:t>
      </w:r>
    </w:p>
    <w:p w14:paraId="5C5B9826" w14:textId="77777777" w:rsidR="00D3782C" w:rsidRPr="00FB717D" w:rsidRDefault="00D3782C" w:rsidP="00D3782C">
      <w:pPr>
        <w:pStyle w:val="ListParagraph"/>
        <w:numPr>
          <w:ilvl w:val="0"/>
          <w:numId w:val="38"/>
        </w:numPr>
      </w:pPr>
      <w:r w:rsidRPr="00FB717D">
        <w:t>Fabrications created for delivery to a third-party</w:t>
      </w:r>
    </w:p>
    <w:p w14:paraId="40E8C272" w14:textId="77777777" w:rsidR="00D3782C" w:rsidRPr="00FB717D" w:rsidRDefault="00D3782C" w:rsidP="00D3782C">
      <w:pPr>
        <w:pStyle w:val="ListParagraph"/>
        <w:numPr>
          <w:ilvl w:val="0"/>
          <w:numId w:val="38"/>
        </w:numPr>
      </w:pPr>
      <w:r w:rsidRPr="00FB717D">
        <w:t>Training or specialized testing</w:t>
      </w:r>
    </w:p>
    <w:p w14:paraId="3C7864AF" w14:textId="77777777" w:rsidR="00D3782C" w:rsidRPr="00EE49B6" w:rsidRDefault="00D3782C" w:rsidP="00D3782C">
      <w:pPr>
        <w:pStyle w:val="ListParagraph"/>
        <w:numPr>
          <w:ilvl w:val="0"/>
          <w:numId w:val="38"/>
        </w:numPr>
      </w:pPr>
      <w:r w:rsidRPr="00FB717D">
        <w:t xml:space="preserve">Costs required to preserve or restore a piece of equipment to such condition that it can be effectively used for its designated purpose </w:t>
      </w:r>
    </w:p>
    <w:p w14:paraId="71BB5C2C" w14:textId="77777777" w:rsidR="00D3782C" w:rsidRPr="0056023B" w:rsidRDefault="00D3782C" w:rsidP="00D3782C">
      <w:pPr>
        <w:pStyle w:val="Level10"/>
      </w:pPr>
      <w:r w:rsidRPr="00FB717D">
        <w:t>Multi-component Equipment</w:t>
      </w:r>
    </w:p>
    <w:p w14:paraId="3BCBF294" w14:textId="0842F90E" w:rsidR="00D3782C" w:rsidRPr="00FB717D" w:rsidRDefault="00D3782C" w:rsidP="00D3782C">
      <w:pPr>
        <w:ind w:left="1080"/>
      </w:pPr>
      <w:r>
        <w:t xml:space="preserve">Multi-component equipment is comprised of individual components of </w:t>
      </w:r>
      <w:proofErr w:type="gramStart"/>
      <w:r>
        <w:t>commercially-available</w:t>
      </w:r>
      <w:proofErr w:type="gramEnd"/>
      <w:r>
        <w:t xml:space="preserve"> equipment or materials requisitioned together that are assembled to operate as a system (e.g., a microscope, camera, laser, optics, etc.). Component parts of one piece of equipment must be accumulated and capitalized if, </w:t>
      </w:r>
      <w:r w:rsidRPr="09BCA8D2">
        <w:rPr>
          <w:b/>
          <w:bCs/>
        </w:rPr>
        <w:t xml:space="preserve">at the time of </w:t>
      </w:r>
      <w:r w:rsidR="7E1319FE" w:rsidRPr="09BCA8D2">
        <w:rPr>
          <w:b/>
          <w:bCs/>
        </w:rPr>
        <w:t>requisition</w:t>
      </w:r>
      <w:r>
        <w:t xml:space="preserve">, the total cost </w:t>
      </w:r>
      <w:r w:rsidR="00405437">
        <w:t xml:space="preserve">meets or exceeds the </w:t>
      </w:r>
      <w:r w:rsidR="6242A020">
        <w:t xml:space="preserve">applicable </w:t>
      </w:r>
      <w:r w:rsidR="00405437">
        <w:t>capitalization threshold</w:t>
      </w:r>
      <w:r>
        <w:t>. Component pieces can be purchased from one or more vendors. Multicomponent equipment may have one inventory tag assigned, although there may be cases when more are necessary, which should be at the discretion of the Equipment Manager or equivalent.</w:t>
      </w:r>
    </w:p>
    <w:p w14:paraId="1A25F581" w14:textId="77777777" w:rsidR="00D3782C" w:rsidRPr="00663853" w:rsidRDefault="00D3782C" w:rsidP="00D3782C">
      <w:pPr>
        <w:pStyle w:val="Level10"/>
      </w:pPr>
      <w:r w:rsidRPr="00FB717D">
        <w:t>Fabrications – Work in Progress (WIP)</w:t>
      </w:r>
    </w:p>
    <w:p w14:paraId="3D481242" w14:textId="2DE75185" w:rsidR="00D3782C" w:rsidRPr="00FB717D" w:rsidRDefault="00D3782C" w:rsidP="00D3782C">
      <w:pPr>
        <w:ind w:left="1080"/>
      </w:pPr>
      <w:r w:rsidRPr="00FB717D">
        <w:rPr>
          <w:w w:val="103"/>
        </w:rPr>
        <w:t>Fabrications</w:t>
      </w:r>
      <w:r w:rsidRPr="00FB717D">
        <w:rPr>
          <w:spacing w:val="2"/>
        </w:rPr>
        <w:t xml:space="preserve"> </w:t>
      </w:r>
      <w:r w:rsidRPr="00FB717D">
        <w:rPr>
          <w:w w:val="103"/>
        </w:rPr>
        <w:t>consist</w:t>
      </w:r>
      <w:r w:rsidRPr="00FB717D">
        <w:rPr>
          <w:spacing w:val="2"/>
        </w:rPr>
        <w:t xml:space="preserve"> </w:t>
      </w:r>
      <w:r w:rsidRPr="00FB717D">
        <w:rPr>
          <w:w w:val="103"/>
        </w:rPr>
        <w:t>of</w:t>
      </w:r>
      <w:r w:rsidRPr="00FB717D">
        <w:rPr>
          <w:spacing w:val="2"/>
        </w:rPr>
        <w:t xml:space="preserve"> </w:t>
      </w:r>
      <w:proofErr w:type="gramStart"/>
      <w:r w:rsidRPr="00FB717D">
        <w:rPr>
          <w:w w:val="103"/>
        </w:rPr>
        <w:t>non</w:t>
      </w:r>
      <w:r w:rsidRPr="00FB717D">
        <w:rPr>
          <w:w w:val="34"/>
        </w:rPr>
        <w:t>-‐</w:t>
      </w:r>
      <w:proofErr w:type="gramEnd"/>
      <w:r w:rsidRPr="00FB717D">
        <w:rPr>
          <w:w w:val="103"/>
        </w:rPr>
        <w:t>expendable,</w:t>
      </w:r>
      <w:r w:rsidRPr="00FB717D">
        <w:rPr>
          <w:spacing w:val="2"/>
        </w:rPr>
        <w:t xml:space="preserve"> </w:t>
      </w:r>
      <w:r w:rsidRPr="00FB717D">
        <w:rPr>
          <w:w w:val="103"/>
        </w:rPr>
        <w:t>tangible</w:t>
      </w:r>
      <w:r w:rsidRPr="00FB717D">
        <w:rPr>
          <w:spacing w:val="3"/>
        </w:rPr>
        <w:t xml:space="preserve"> </w:t>
      </w:r>
      <w:r w:rsidRPr="00FB717D">
        <w:rPr>
          <w:w w:val="103"/>
        </w:rPr>
        <w:t>property</w:t>
      </w:r>
      <w:r w:rsidRPr="00FB717D">
        <w:rPr>
          <w:spacing w:val="2"/>
        </w:rPr>
        <w:t xml:space="preserve"> that meet the following conditions:</w:t>
      </w:r>
    </w:p>
    <w:p w14:paraId="10F130E4" w14:textId="77777777" w:rsidR="00D3782C" w:rsidRPr="00663853" w:rsidRDefault="00D3782C" w:rsidP="00D3782C">
      <w:pPr>
        <w:pStyle w:val="ListParagraph"/>
        <w:numPr>
          <w:ilvl w:val="0"/>
          <w:numId w:val="39"/>
        </w:numPr>
        <w:rPr>
          <w:w w:val="105"/>
        </w:rPr>
      </w:pPr>
      <w:r w:rsidRPr="00663853">
        <w:rPr>
          <w:w w:val="103"/>
        </w:rPr>
        <w:t>Physically</w:t>
      </w:r>
      <w:r w:rsidRPr="00663853">
        <w:rPr>
          <w:spacing w:val="2"/>
        </w:rPr>
        <w:t xml:space="preserve"> </w:t>
      </w:r>
      <w:r w:rsidRPr="00663853">
        <w:rPr>
          <w:w w:val="103"/>
        </w:rPr>
        <w:t>constructed</w:t>
      </w:r>
      <w:r w:rsidRPr="00663853">
        <w:rPr>
          <w:color w:val="000000"/>
        </w:rPr>
        <w:t xml:space="preserve"> by Harvard personnel</w:t>
      </w:r>
    </w:p>
    <w:p w14:paraId="0FED562D" w14:textId="418D7972" w:rsidR="00D3782C" w:rsidRPr="00663853" w:rsidRDefault="00D3782C" w:rsidP="00D3782C">
      <w:pPr>
        <w:pStyle w:val="ListParagraph"/>
        <w:numPr>
          <w:ilvl w:val="0"/>
          <w:numId w:val="39"/>
        </w:numPr>
      </w:pPr>
      <w:r w:rsidRPr="3069C16B">
        <w:rPr>
          <w:color w:val="000000" w:themeColor="text1"/>
        </w:rPr>
        <w:t xml:space="preserve">Have aggregate capitalizable costs of at least </w:t>
      </w:r>
      <w:r w:rsidR="001F780F" w:rsidRPr="3069C16B">
        <w:rPr>
          <w:color w:val="000000" w:themeColor="text1"/>
        </w:rPr>
        <w:t xml:space="preserve">$10,000 (or </w:t>
      </w:r>
      <w:r w:rsidRPr="3069C16B">
        <w:rPr>
          <w:color w:val="000000" w:themeColor="text1"/>
        </w:rPr>
        <w:t>$5,000</w:t>
      </w:r>
      <w:r w:rsidR="001F780F" w:rsidRPr="3069C16B">
        <w:rPr>
          <w:color w:val="000000" w:themeColor="text1"/>
        </w:rPr>
        <w:t xml:space="preserve"> if purchased on a sponsored </w:t>
      </w:r>
      <w:r w:rsidR="00B5547E" w:rsidRPr="00564D75">
        <w:t xml:space="preserve">award </w:t>
      </w:r>
      <w:r w:rsidR="00B5547E">
        <w:t xml:space="preserve">with a </w:t>
      </w:r>
      <w:r w:rsidR="00B5547E" w:rsidRPr="00564D75">
        <w:t xml:space="preserve">start date </w:t>
      </w:r>
      <w:r w:rsidR="00B5547E" w:rsidRPr="00564D75">
        <w:rPr>
          <w:b/>
          <w:bCs/>
        </w:rPr>
        <w:t>before 07/01/25</w:t>
      </w:r>
      <w:r w:rsidR="00845A2A">
        <w:rPr>
          <w:b/>
          <w:bCs/>
        </w:rPr>
        <w:t xml:space="preserve"> </w:t>
      </w:r>
      <w:r w:rsidRPr="3069C16B">
        <w:rPr>
          <w:color w:val="000000" w:themeColor="text1"/>
        </w:rPr>
        <w:t>and have a useful life of one year or more</w:t>
      </w:r>
    </w:p>
    <w:p w14:paraId="1F0FAA6E" w14:textId="77777777" w:rsidR="00D3782C" w:rsidRPr="00663853" w:rsidRDefault="00D3782C" w:rsidP="00D3782C">
      <w:pPr>
        <w:pStyle w:val="ListParagraph"/>
        <w:numPr>
          <w:ilvl w:val="0"/>
          <w:numId w:val="39"/>
        </w:numPr>
        <w:rPr>
          <w:w w:val="105"/>
        </w:rPr>
      </w:pPr>
      <w:r w:rsidRPr="00663853">
        <w:rPr>
          <w:color w:val="000000"/>
        </w:rPr>
        <w:t>made up of parts and materials combined or manufactured to work together as a traceable unit and are not simply a multicomponent assembly of separate items</w:t>
      </w:r>
    </w:p>
    <w:p w14:paraId="370A0CA3" w14:textId="77777777" w:rsidR="00D3782C" w:rsidRPr="00663853" w:rsidRDefault="00D3782C" w:rsidP="00D3782C">
      <w:pPr>
        <w:pStyle w:val="ListParagraph"/>
        <w:numPr>
          <w:ilvl w:val="0"/>
          <w:numId w:val="39"/>
        </w:numPr>
        <w:rPr>
          <w:w w:val="105"/>
        </w:rPr>
      </w:pPr>
      <w:r w:rsidRPr="00663853">
        <w:rPr>
          <w:color w:val="000000"/>
        </w:rPr>
        <w:t>The creation of the fabrication is not prototyping</w:t>
      </w:r>
      <w:r w:rsidRPr="00663853">
        <w:rPr>
          <w:bCs/>
          <w:color w:val="000000"/>
        </w:rPr>
        <w:t xml:space="preserve"> (defined as </w:t>
      </w:r>
      <w:r w:rsidRPr="00663853">
        <w:rPr>
          <w:color w:val="000000"/>
        </w:rPr>
        <w:t>i</w:t>
      </w:r>
      <w:r w:rsidRPr="00663853">
        <w:rPr>
          <w:w w:val="105"/>
        </w:rPr>
        <w:t>terative design with the goal of a preliminary model to prove utility prior to production)</w:t>
      </w:r>
    </w:p>
    <w:p w14:paraId="1793986B" w14:textId="77777777" w:rsidR="00D3782C" w:rsidRPr="00663853" w:rsidRDefault="00D3782C" w:rsidP="00D3782C">
      <w:pPr>
        <w:pStyle w:val="ListParagraph"/>
        <w:numPr>
          <w:ilvl w:val="0"/>
          <w:numId w:val="39"/>
        </w:numPr>
        <w:rPr>
          <w:w w:val="105"/>
        </w:rPr>
      </w:pPr>
      <w:r w:rsidRPr="00663853">
        <w:rPr>
          <w:w w:val="105"/>
        </w:rPr>
        <w:t>The completed fabrication is not a deliverable of a contract or agreement</w:t>
      </w:r>
    </w:p>
    <w:p w14:paraId="144AF420" w14:textId="77777777" w:rsidR="00D3782C" w:rsidRPr="00663853" w:rsidRDefault="00D3782C" w:rsidP="00D3782C">
      <w:pPr>
        <w:pStyle w:val="ListParagraph"/>
        <w:numPr>
          <w:ilvl w:val="0"/>
          <w:numId w:val="39"/>
        </w:numPr>
        <w:rPr>
          <w:w w:val="105"/>
        </w:rPr>
      </w:pPr>
      <w:r w:rsidRPr="00663853">
        <w:rPr>
          <w:w w:val="105"/>
        </w:rPr>
        <w:t>There is a reasonably certain date for the completion of the fabrication</w:t>
      </w:r>
    </w:p>
    <w:p w14:paraId="1A842C65" w14:textId="77777777" w:rsidR="00D3782C" w:rsidRPr="004D67C2" w:rsidRDefault="00D3782C" w:rsidP="00D3782C">
      <w:pPr>
        <w:pStyle w:val="ListParagraph"/>
        <w:numPr>
          <w:ilvl w:val="0"/>
          <w:numId w:val="39"/>
        </w:numPr>
        <w:rPr>
          <w:w w:val="105"/>
        </w:rPr>
      </w:pPr>
      <w:r w:rsidRPr="00663853">
        <w:rPr>
          <w:color w:val="000000"/>
        </w:rPr>
        <w:t xml:space="preserve">There is an expectation that the fabrication will be used to generate useful results in support of Harvard research. </w:t>
      </w:r>
    </w:p>
    <w:p w14:paraId="5BA7DE14" w14:textId="77777777" w:rsidR="00D3782C" w:rsidRPr="00FB717D" w:rsidRDefault="00D3782C" w:rsidP="00D3782C">
      <w:pPr>
        <w:ind w:left="1080"/>
        <w:rPr>
          <w:b/>
          <w:bCs/>
          <w:color w:val="000000"/>
        </w:rPr>
      </w:pPr>
      <w:r w:rsidRPr="00FB717D">
        <w:rPr>
          <w:bCs/>
          <w:color w:val="000000"/>
        </w:rPr>
        <w:t>Types of fabrication costs that</w:t>
      </w:r>
      <w:r w:rsidRPr="00FB717D">
        <w:rPr>
          <w:b/>
          <w:bCs/>
          <w:color w:val="000000"/>
        </w:rPr>
        <w:t xml:space="preserve"> </w:t>
      </w:r>
      <w:r w:rsidRPr="00FB717D">
        <w:rPr>
          <w:b/>
          <w:bCs/>
          <w:i/>
          <w:color w:val="000000"/>
        </w:rPr>
        <w:t>may not</w:t>
      </w:r>
      <w:r w:rsidRPr="00FB717D">
        <w:rPr>
          <w:b/>
          <w:bCs/>
          <w:color w:val="000000"/>
        </w:rPr>
        <w:t xml:space="preserve"> </w:t>
      </w:r>
      <w:r w:rsidRPr="00FB717D">
        <w:rPr>
          <w:bCs/>
          <w:color w:val="000000"/>
        </w:rPr>
        <w:t>be capitalized:</w:t>
      </w:r>
    </w:p>
    <w:p w14:paraId="51FF98BB" w14:textId="77777777" w:rsidR="00D3782C" w:rsidRPr="004D67C2" w:rsidRDefault="00D3782C" w:rsidP="00D3782C">
      <w:pPr>
        <w:pStyle w:val="ListParagraph"/>
        <w:numPr>
          <w:ilvl w:val="0"/>
          <w:numId w:val="40"/>
        </w:numPr>
        <w:rPr>
          <w:color w:val="000000"/>
        </w:rPr>
      </w:pPr>
      <w:r w:rsidRPr="004D67C2">
        <w:rPr>
          <w:color w:val="000000"/>
        </w:rPr>
        <w:t>Fabrications as part of the sponsor-funded research and development (recorded as expense)</w:t>
      </w:r>
    </w:p>
    <w:p w14:paraId="55931440" w14:textId="77777777" w:rsidR="00D3782C" w:rsidRPr="004D67C2" w:rsidRDefault="00D3782C" w:rsidP="00D3782C">
      <w:pPr>
        <w:pStyle w:val="ListParagraph"/>
        <w:numPr>
          <w:ilvl w:val="0"/>
          <w:numId w:val="40"/>
        </w:numPr>
        <w:rPr>
          <w:color w:val="000000"/>
        </w:rPr>
      </w:pPr>
      <w:r w:rsidRPr="004D67C2">
        <w:rPr>
          <w:color w:val="000000"/>
        </w:rPr>
        <w:t>Fabrications created for delivery to a third-party (recorded as inventory)</w:t>
      </w:r>
    </w:p>
    <w:p w14:paraId="067CBEAF" w14:textId="77777777" w:rsidR="00D3782C" w:rsidRPr="004D67C2" w:rsidRDefault="00D3782C" w:rsidP="00D3782C">
      <w:pPr>
        <w:pStyle w:val="ListParagraph"/>
        <w:numPr>
          <w:ilvl w:val="0"/>
          <w:numId w:val="40"/>
        </w:numPr>
        <w:rPr>
          <w:color w:val="000000"/>
        </w:rPr>
      </w:pPr>
      <w:r w:rsidRPr="004D67C2">
        <w:rPr>
          <w:color w:val="000000"/>
        </w:rPr>
        <w:t>Prototypes (recorded as expense)</w:t>
      </w:r>
    </w:p>
    <w:p w14:paraId="7AABF478" w14:textId="77777777" w:rsidR="00D3782C" w:rsidRPr="004D67C2" w:rsidRDefault="00D3782C" w:rsidP="00D3782C">
      <w:pPr>
        <w:ind w:left="1152"/>
      </w:pPr>
      <w:r>
        <w:t>Schools or units</w:t>
      </w:r>
      <w:r w:rsidRPr="00FB717D">
        <w:t xml:space="preserve"> must review all their equipment Work in Progress (WIP) every 6 months to determine if they should be placed into service or written off or documented as to the reason the project should remain open. This review must be aligned so as to ensure one of the bi-annual reviews is done close to year end (i.e., as of May or June). For any </w:t>
      </w:r>
      <w:r>
        <w:t>school/unit/</w:t>
      </w:r>
      <w:r w:rsidRPr="00FB717D">
        <w:t>area with Sponsored WIP, please s</w:t>
      </w:r>
      <w:r w:rsidRPr="00A96BE2">
        <w:t xml:space="preserve">ee </w:t>
      </w:r>
      <w:hyperlink w:anchor="Appendix_A" w:history="1">
        <w:r w:rsidRPr="00A96BE2">
          <w:rPr>
            <w:rStyle w:val="Hyperlink"/>
            <w:rFonts w:cstheme="minorHAnsi"/>
          </w:rPr>
          <w:t xml:space="preserve">Appendix A </w:t>
        </w:r>
      </w:hyperlink>
      <w:r w:rsidRPr="00A96BE2">
        <w:t>for addition</w:t>
      </w:r>
      <w:r w:rsidRPr="00FB717D">
        <w:t>al review requirements for sponsored WIP within 6 months of the award close-out timeline. Exceptions for inactive fabrications remaining open should be rare.</w:t>
      </w:r>
    </w:p>
    <w:p w14:paraId="31CEA8F0" w14:textId="77777777" w:rsidR="00D3782C" w:rsidRPr="00FB717D" w:rsidRDefault="00D3782C" w:rsidP="00D3782C">
      <w:pPr>
        <w:ind w:left="1152"/>
        <w:rPr>
          <w:color w:val="000000"/>
        </w:rPr>
      </w:pPr>
      <w:r w:rsidRPr="00FB717D">
        <w:rPr>
          <w:color w:val="000000"/>
        </w:rPr>
        <w:lastRenderedPageBreak/>
        <w:t>Fabrications are depreciated as an asset of the University once placed in service.</w:t>
      </w:r>
    </w:p>
    <w:p w14:paraId="6033D714" w14:textId="77777777" w:rsidR="00D3782C" w:rsidRPr="00CD5AA1" w:rsidRDefault="00D3782C" w:rsidP="00D3782C">
      <w:pPr>
        <w:pStyle w:val="LevelI"/>
      </w:pPr>
      <w:r w:rsidRPr="00FB717D">
        <w:t>Accounting for a Fabrication</w:t>
      </w:r>
    </w:p>
    <w:p w14:paraId="3FCEF694" w14:textId="77777777" w:rsidR="00D3782C" w:rsidRPr="00FB717D" w:rsidRDefault="00D3782C" w:rsidP="00E12136">
      <w:pPr>
        <w:pStyle w:val="LevelA0"/>
        <w:numPr>
          <w:ilvl w:val="0"/>
          <w:numId w:val="67"/>
        </w:numPr>
      </w:pPr>
      <w:r w:rsidRPr="7670CC61">
        <w:t xml:space="preserve">Areas may require prior approval before the construction of fabrications begins. Fabrication costs are charged using a fabrication object code and unique Work in Progress (WIP) activity assigned to a project. A placeholder asset using tag number, activity, or other unique identifier must be created in Oracle Fixed Assets to track associated fabrication transactions. The WIP object codes are: </w:t>
      </w:r>
    </w:p>
    <w:tbl>
      <w:tblPr>
        <w:tblW w:w="5750" w:type="dxa"/>
        <w:jc w:val="center"/>
        <w:tblLook w:val="04A0" w:firstRow="1" w:lastRow="0" w:firstColumn="1" w:lastColumn="0" w:noHBand="0" w:noVBand="1"/>
      </w:tblPr>
      <w:tblGrid>
        <w:gridCol w:w="644"/>
        <w:gridCol w:w="5106"/>
      </w:tblGrid>
      <w:tr w:rsidR="00D3782C" w:rsidRPr="00F65FD2" w14:paraId="27046ED3" w14:textId="77777777" w:rsidTr="00FD12A1">
        <w:trPr>
          <w:trHeight w:val="300"/>
          <w:jc w:val="center"/>
        </w:trPr>
        <w:tc>
          <w:tcPr>
            <w:tcW w:w="267" w:type="dxa"/>
            <w:tcBorders>
              <w:top w:val="single" w:sz="4" w:space="0" w:color="auto"/>
              <w:left w:val="single" w:sz="4" w:space="0" w:color="auto"/>
              <w:bottom w:val="single" w:sz="4" w:space="0" w:color="auto"/>
              <w:right w:val="single" w:sz="4" w:space="0" w:color="auto"/>
            </w:tcBorders>
            <w:noWrap/>
            <w:vAlign w:val="bottom"/>
            <w:hideMark/>
          </w:tcPr>
          <w:p w14:paraId="01D65D38" w14:textId="77777777" w:rsidR="00D3782C" w:rsidRPr="00FB717D" w:rsidRDefault="00D3782C" w:rsidP="00FD12A1">
            <w:pPr>
              <w:rPr>
                <w:rFonts w:cstheme="minorHAnsi"/>
                <w:color w:val="000000"/>
                <w:sz w:val="20"/>
                <w:szCs w:val="20"/>
              </w:rPr>
            </w:pPr>
            <w:r w:rsidRPr="00FB717D">
              <w:rPr>
                <w:rFonts w:cstheme="minorHAnsi"/>
                <w:color w:val="000000"/>
                <w:sz w:val="20"/>
                <w:szCs w:val="20"/>
              </w:rPr>
              <w:t>6811</w:t>
            </w:r>
          </w:p>
        </w:tc>
        <w:tc>
          <w:tcPr>
            <w:tcW w:w="5483" w:type="dxa"/>
            <w:tcBorders>
              <w:top w:val="single" w:sz="4" w:space="0" w:color="auto"/>
              <w:left w:val="nil"/>
              <w:bottom w:val="single" w:sz="4" w:space="0" w:color="auto"/>
              <w:right w:val="single" w:sz="4" w:space="0" w:color="auto"/>
            </w:tcBorders>
            <w:vAlign w:val="bottom"/>
            <w:hideMark/>
          </w:tcPr>
          <w:p w14:paraId="17C2CB78" w14:textId="1060F918" w:rsidR="00D3782C" w:rsidRPr="00FB717D" w:rsidRDefault="00D3782C" w:rsidP="00FD12A1">
            <w:pPr>
              <w:rPr>
                <w:rFonts w:cstheme="minorHAnsi"/>
                <w:color w:val="000000"/>
                <w:sz w:val="20"/>
                <w:szCs w:val="20"/>
              </w:rPr>
            </w:pPr>
            <w:r w:rsidRPr="00FB717D">
              <w:rPr>
                <w:rFonts w:cstheme="minorHAnsi"/>
                <w:color w:val="000000"/>
                <w:sz w:val="20"/>
                <w:szCs w:val="20"/>
              </w:rPr>
              <w:t xml:space="preserve">Non-Sponsored Work in </w:t>
            </w:r>
            <w:proofErr w:type="spellStart"/>
            <w:r w:rsidRPr="00FB717D">
              <w:rPr>
                <w:rFonts w:cstheme="minorHAnsi"/>
                <w:color w:val="000000"/>
                <w:sz w:val="20"/>
                <w:szCs w:val="20"/>
              </w:rPr>
              <w:t>Progress^Equip</w:t>
            </w:r>
            <w:proofErr w:type="spellEnd"/>
            <w:r w:rsidRPr="00FB717D">
              <w:rPr>
                <w:rFonts w:cstheme="minorHAnsi"/>
                <w:color w:val="000000"/>
                <w:sz w:val="20"/>
                <w:szCs w:val="20"/>
              </w:rPr>
              <w:t xml:space="preserve"> </w:t>
            </w:r>
            <w:r w:rsidR="00860C07">
              <w:rPr>
                <w:rFonts w:cstheme="minorHAnsi"/>
                <w:sz w:val="20"/>
                <w:szCs w:val="20"/>
              </w:rPr>
              <w:t>Capital per PPE Policy</w:t>
            </w:r>
          </w:p>
        </w:tc>
      </w:tr>
      <w:tr w:rsidR="00D3782C" w:rsidRPr="00F65FD2" w14:paraId="7F83908F" w14:textId="77777777" w:rsidTr="00FD12A1">
        <w:trPr>
          <w:trHeight w:val="300"/>
          <w:jc w:val="center"/>
        </w:trPr>
        <w:tc>
          <w:tcPr>
            <w:tcW w:w="267" w:type="dxa"/>
            <w:tcBorders>
              <w:top w:val="nil"/>
              <w:left w:val="single" w:sz="4" w:space="0" w:color="auto"/>
              <w:bottom w:val="single" w:sz="4" w:space="0" w:color="auto"/>
              <w:right w:val="single" w:sz="4" w:space="0" w:color="auto"/>
            </w:tcBorders>
            <w:noWrap/>
            <w:vAlign w:val="bottom"/>
            <w:hideMark/>
          </w:tcPr>
          <w:p w14:paraId="701C4FEB" w14:textId="77777777" w:rsidR="00D3782C" w:rsidRPr="00FB717D" w:rsidRDefault="00D3782C" w:rsidP="00FD12A1">
            <w:pPr>
              <w:rPr>
                <w:rFonts w:cstheme="minorHAnsi"/>
                <w:color w:val="000000"/>
                <w:sz w:val="20"/>
                <w:szCs w:val="20"/>
              </w:rPr>
            </w:pPr>
            <w:r w:rsidRPr="00FB717D">
              <w:rPr>
                <w:rFonts w:cstheme="minorHAnsi"/>
                <w:color w:val="000000"/>
                <w:sz w:val="20"/>
                <w:szCs w:val="20"/>
              </w:rPr>
              <w:t>6812</w:t>
            </w:r>
          </w:p>
        </w:tc>
        <w:tc>
          <w:tcPr>
            <w:tcW w:w="5483" w:type="dxa"/>
            <w:tcBorders>
              <w:top w:val="nil"/>
              <w:left w:val="nil"/>
              <w:bottom w:val="single" w:sz="4" w:space="0" w:color="auto"/>
              <w:right w:val="single" w:sz="4" w:space="0" w:color="auto"/>
            </w:tcBorders>
            <w:vAlign w:val="bottom"/>
            <w:hideMark/>
          </w:tcPr>
          <w:p w14:paraId="0932DE37" w14:textId="7340CA2F" w:rsidR="00D3782C" w:rsidRPr="00FB717D" w:rsidRDefault="00D3782C" w:rsidP="00FD12A1">
            <w:pPr>
              <w:rPr>
                <w:rFonts w:cstheme="minorHAnsi"/>
                <w:color w:val="000000"/>
                <w:sz w:val="20"/>
                <w:szCs w:val="20"/>
              </w:rPr>
            </w:pPr>
            <w:r w:rsidRPr="00FB717D">
              <w:rPr>
                <w:rFonts w:cstheme="minorHAnsi"/>
                <w:color w:val="000000"/>
                <w:sz w:val="20"/>
                <w:szCs w:val="20"/>
              </w:rPr>
              <w:t xml:space="preserve">Sponsored Work in </w:t>
            </w:r>
            <w:proofErr w:type="spellStart"/>
            <w:r w:rsidRPr="00FB717D">
              <w:rPr>
                <w:rFonts w:cstheme="minorHAnsi"/>
                <w:color w:val="000000"/>
                <w:sz w:val="20"/>
                <w:szCs w:val="20"/>
              </w:rPr>
              <w:t>Progress^Equip</w:t>
            </w:r>
            <w:proofErr w:type="spellEnd"/>
            <w:r w:rsidRPr="00FB717D">
              <w:rPr>
                <w:rFonts w:cstheme="minorHAnsi"/>
                <w:color w:val="000000"/>
                <w:sz w:val="20"/>
                <w:szCs w:val="20"/>
              </w:rPr>
              <w:t xml:space="preserve"> </w:t>
            </w:r>
            <w:r w:rsidR="00860C07">
              <w:rPr>
                <w:rFonts w:cstheme="minorHAnsi"/>
                <w:sz w:val="20"/>
                <w:szCs w:val="20"/>
              </w:rPr>
              <w:t>Capital per PPE Policy</w:t>
            </w:r>
          </w:p>
        </w:tc>
      </w:tr>
    </w:tbl>
    <w:p w14:paraId="754DC112" w14:textId="4D686489" w:rsidR="00D3782C" w:rsidRPr="00FB717D" w:rsidRDefault="00D3782C" w:rsidP="00D3782C">
      <w:pPr>
        <w:ind w:left="720"/>
      </w:pPr>
      <w:r>
        <w:t xml:space="preserve">Only costs integral to </w:t>
      </w:r>
      <w:proofErr w:type="gramStart"/>
      <w:r>
        <w:t>the fabrication</w:t>
      </w:r>
      <w:proofErr w:type="gramEnd"/>
      <w:r>
        <w:t xml:space="preserve"> may be capitalized. Integral costs include any material or supply that becomes a permanent part of the fabrication, any internal service center charges, and any external shop fees. Harvard labor costs which are outside of a service center cannot be capitalized on sponsored awards unless the sponsor terms and conditions explicitly state that the award </w:t>
      </w:r>
      <w:r w:rsidRPr="09BCA8D2">
        <w:rPr>
          <w:b/>
          <w:bCs/>
        </w:rPr>
        <w:t>must</w:t>
      </w:r>
      <w:r>
        <w:t xml:space="preserve"> be </w:t>
      </w:r>
      <w:r w:rsidR="36798B8A">
        <w:t>used</w:t>
      </w:r>
      <w:r>
        <w:t xml:space="preserve"> for a capital project. Any capitalization of Harvard labor costs on sponsored awards must otherwise meet the requirements for fabricated assets in this policy and its appendices and the requirements in the </w:t>
      </w:r>
      <w:hyperlink r:id="rId15">
        <w:r w:rsidRPr="09BCA8D2">
          <w:rPr>
            <w:rStyle w:val="Hyperlink"/>
          </w:rPr>
          <w:t>Harvard Software Accounting Policy</w:t>
        </w:r>
      </w:hyperlink>
      <w:r>
        <w:t xml:space="preserve"> and its appendices.</w:t>
      </w:r>
    </w:p>
    <w:p w14:paraId="42F4CAF2" w14:textId="77777777" w:rsidR="00D3782C" w:rsidRDefault="00D3782C" w:rsidP="00E12136">
      <w:pPr>
        <w:pStyle w:val="LevelA0"/>
      </w:pPr>
      <w:r w:rsidRPr="00FB717D">
        <w:t>Completing Fabrica</w:t>
      </w:r>
      <w:r w:rsidRPr="00EA5DA8">
        <w:t xml:space="preserve">tions (See </w:t>
      </w:r>
      <w:r w:rsidRPr="00FB7B29">
        <w:rPr>
          <w:szCs w:val="20"/>
        </w:rPr>
        <w:t>Main Policy</w:t>
      </w:r>
      <w:r w:rsidRPr="00EA5DA8">
        <w:t xml:space="preserve">) </w:t>
      </w:r>
    </w:p>
    <w:p w14:paraId="441A860C" w14:textId="4C5D4438" w:rsidR="00D3782C" w:rsidRPr="00FB717D" w:rsidRDefault="00D3782C" w:rsidP="00D3782C">
      <w:pPr>
        <w:ind w:left="720"/>
      </w:pPr>
      <w:r w:rsidRPr="00EA5DA8">
        <w:rPr>
          <w:bCs/>
        </w:rPr>
        <w:t>A fabrication</w:t>
      </w:r>
      <w:r w:rsidRPr="00EA5DA8">
        <w:t xml:space="preserve"> must be placed in service </w:t>
      </w:r>
      <w:r w:rsidRPr="00EA5DA8">
        <w:rPr>
          <w:bCs/>
        </w:rPr>
        <w:t xml:space="preserve">(PIS) </w:t>
      </w:r>
      <w:r w:rsidRPr="00EA5DA8">
        <w:t>when it is capable of renderin</w:t>
      </w:r>
      <w:r w:rsidRPr="00FB717D">
        <w:t xml:space="preserve">g the intended useful results </w:t>
      </w:r>
      <w:r w:rsidRPr="00FB717D">
        <w:rPr>
          <w:b/>
        </w:rPr>
        <w:t>and</w:t>
      </w:r>
      <w:r w:rsidRPr="00FB717D">
        <w:t xml:space="preserve"> the aggregate costs meet </w:t>
      </w:r>
      <w:r w:rsidR="00FD3B91">
        <w:t xml:space="preserve">or exceed the applicable </w:t>
      </w:r>
      <w:r w:rsidRPr="00FB717D">
        <w:t xml:space="preserve">capitalization threshold. </w:t>
      </w:r>
      <w:r w:rsidRPr="00FB717D">
        <w:rPr>
          <w:bCs/>
        </w:rPr>
        <w:t>Placing a fabrication in service will initiate depreciation during the month it is placed in service. At a minimum, areas</w:t>
      </w:r>
      <w:r w:rsidRPr="00FB717D">
        <w:t xml:space="preserve"> must review fabrications every 6 months.</w:t>
      </w:r>
    </w:p>
    <w:p w14:paraId="489555EC" w14:textId="496675C2" w:rsidR="00D3782C" w:rsidRPr="00FB717D" w:rsidRDefault="00D3782C" w:rsidP="00D3782C">
      <w:pPr>
        <w:ind w:left="720"/>
      </w:pPr>
      <w:r>
        <w:t xml:space="preserve">When an equipment project is rendering useful results, it must be placed in service (PIS). WIP is placed into service by FAR for non-debt financed fabrication and by OTM for debt financed fabrication. The school or unit must complete the </w:t>
      </w:r>
      <w:hyperlink r:id="rId16">
        <w:r w:rsidRPr="09BCA8D2">
          <w:rPr>
            <w:color w:val="0000FF"/>
            <w:u w:val="single"/>
          </w:rPr>
          <w:t>Notification of Completion of Capital Equipment Fabrication</w:t>
        </w:r>
      </w:hyperlink>
      <w:r>
        <w:t xml:space="preserve"> form and submitted to OTM if the project is debt financed or </w:t>
      </w:r>
      <w:proofErr w:type="spellStart"/>
      <w:r>
        <w:t>to</w:t>
      </w:r>
      <w:proofErr w:type="spellEnd"/>
      <w:r>
        <w:t xml:space="preserve"> FAR if internally-funded. Once OTM or FAR receives the notification form, their office will process the change in Oracle Fixed Assets that will credit the WIP object code and debit the appropriate asset object code.</w:t>
      </w:r>
    </w:p>
    <w:p w14:paraId="240E173A" w14:textId="660DCDD0" w:rsidR="00D3782C" w:rsidRPr="00FB717D" w:rsidRDefault="33D8210A" w:rsidP="00D3782C">
      <w:pPr>
        <w:ind w:left="720"/>
      </w:pPr>
      <w:r>
        <w:t xml:space="preserve">Costs may not be capitalized indefinitely. A sponsored fabrication’s construction period is generally set by the scope of the sponsored </w:t>
      </w:r>
      <w:proofErr w:type="gramStart"/>
      <w:r>
        <w:t>project,</w:t>
      </w:r>
      <w:proofErr w:type="gramEnd"/>
      <w:r>
        <w:t xml:space="preserve"> however, schools or units should review the status of all in-progress fabrications at least every 6 months. </w:t>
      </w:r>
    </w:p>
    <w:p w14:paraId="4B9DD367" w14:textId="77777777" w:rsidR="00D3782C" w:rsidRPr="00FB717D" w:rsidRDefault="00D3782C" w:rsidP="00D3782C">
      <w:pPr>
        <w:ind w:left="720"/>
      </w:pPr>
      <w:r w:rsidRPr="00FB717D">
        <w:t>If a fabrication is rendering useful results but does not meet the capitalization threshold, the fabrication must be written off and the fabrication account closed. See write</w:t>
      </w:r>
      <w:r w:rsidRPr="00FB717D">
        <w:rPr>
          <w:bCs/>
        </w:rPr>
        <w:t>-</w:t>
      </w:r>
      <w:r w:rsidRPr="00FB717D">
        <w:t>off procedures i</w:t>
      </w:r>
      <w:r w:rsidRPr="00EA5DA8">
        <w:t xml:space="preserve">n </w:t>
      </w:r>
      <w:hyperlink w:anchor="Appendix_D_Disposals" w:history="1">
        <w:r w:rsidRPr="00EA5DA8">
          <w:rPr>
            <w:rStyle w:val="Hyperlink"/>
            <w:rFonts w:cstheme="minorHAnsi"/>
            <w:szCs w:val="20"/>
          </w:rPr>
          <w:t>Appendix D</w:t>
        </w:r>
      </w:hyperlink>
      <w:r w:rsidRPr="00EA5DA8">
        <w:t>.</w:t>
      </w:r>
    </w:p>
    <w:p w14:paraId="00C3ED44" w14:textId="77777777" w:rsidR="00D3782C" w:rsidRPr="00FB717D" w:rsidRDefault="00D3782C" w:rsidP="00D3782C">
      <w:pPr>
        <w:ind w:left="720"/>
      </w:pPr>
      <w:r w:rsidRPr="00FB717D">
        <w:t xml:space="preserve">If a fabrication is intended to be shipped outside of the U.S., your </w:t>
      </w:r>
      <w:r>
        <w:t>school/unit/</w:t>
      </w:r>
      <w:r w:rsidRPr="00FB717D">
        <w:t>area</w:t>
      </w:r>
      <w:r>
        <w:t xml:space="preserve"> </w:t>
      </w:r>
      <w:hyperlink r:id="rId17" w:history="1">
        <w:r w:rsidRPr="00F65FD2">
          <w:rPr>
            <w:rStyle w:val="Hyperlink"/>
            <w:rFonts w:cstheme="minorHAnsi"/>
          </w:rPr>
          <w:t>Export Control Administrator</w:t>
        </w:r>
      </w:hyperlink>
      <w:r w:rsidRPr="00FB717D">
        <w:t xml:space="preserve">  or </w:t>
      </w:r>
      <w:r>
        <w:t>school or unit</w:t>
      </w:r>
      <w:r w:rsidRPr="00FB717D">
        <w:t xml:space="preserve"> finance offices should be contacted in order to determine whether an export license is required. This process may take several months, so advanced notification is necessary.</w:t>
      </w:r>
    </w:p>
    <w:p w14:paraId="7771EAD2" w14:textId="77777777" w:rsidR="00D3782C" w:rsidRPr="00FB717D" w:rsidRDefault="00D3782C" w:rsidP="0067441F">
      <w:pPr>
        <w:pStyle w:val="LevelI"/>
      </w:pPr>
      <w:r w:rsidRPr="00914607">
        <w:lastRenderedPageBreak/>
        <w:t>Upgrades (also known as Betterments or Enhancements</w:t>
      </w:r>
      <w:r w:rsidRPr="00FB717D">
        <w:t>)</w:t>
      </w:r>
    </w:p>
    <w:p w14:paraId="684A5F11" w14:textId="77777777" w:rsidR="00D3782C" w:rsidRPr="00914607" w:rsidRDefault="00D3782C" w:rsidP="00D3782C">
      <w:pPr>
        <w:ind w:left="288"/>
        <w:rPr>
          <w:bCs/>
          <w:color w:val="000000"/>
        </w:rPr>
      </w:pPr>
      <w:r w:rsidRPr="00914607">
        <w:rPr>
          <w:bCs/>
          <w:color w:val="000000"/>
        </w:rPr>
        <w:t>In some instances, additional costs to capitalized equipment may represent an upgrade and may be capitalized as such. For costs to be considered an upgrade it must meet the following criteria:</w:t>
      </w:r>
    </w:p>
    <w:p w14:paraId="082E0065" w14:textId="5F9C2329" w:rsidR="00D3782C" w:rsidRPr="00914607" w:rsidRDefault="00D3782C" w:rsidP="00D3782C">
      <w:pPr>
        <w:pStyle w:val="ListParagraph"/>
        <w:numPr>
          <w:ilvl w:val="0"/>
          <w:numId w:val="47"/>
        </w:numPr>
        <w:rPr>
          <w:bCs/>
          <w:color w:val="000000"/>
        </w:rPr>
      </w:pPr>
      <w:r w:rsidRPr="00914607">
        <w:rPr>
          <w:bCs/>
          <w:color w:val="000000"/>
        </w:rPr>
        <w:t xml:space="preserve">the individual unit cost must </w:t>
      </w:r>
      <w:r w:rsidR="00FA2EB4">
        <w:rPr>
          <w:bCs/>
          <w:color w:val="000000"/>
        </w:rPr>
        <w:t>meet or exceed the applicable capitalization threshold</w:t>
      </w:r>
      <w:r w:rsidRPr="00914607">
        <w:rPr>
          <w:bCs/>
          <w:color w:val="000000"/>
        </w:rPr>
        <w:t>, AND</w:t>
      </w:r>
    </w:p>
    <w:p w14:paraId="67D1E7C6" w14:textId="77777777" w:rsidR="00D3782C" w:rsidRPr="00914607" w:rsidRDefault="00D3782C" w:rsidP="00D3782C">
      <w:pPr>
        <w:pStyle w:val="ListParagraph"/>
        <w:numPr>
          <w:ilvl w:val="0"/>
          <w:numId w:val="47"/>
        </w:numPr>
        <w:rPr>
          <w:bCs/>
          <w:color w:val="000000"/>
        </w:rPr>
      </w:pPr>
      <w:r w:rsidRPr="00914607">
        <w:rPr>
          <w:bCs/>
          <w:color w:val="000000"/>
        </w:rPr>
        <w:t xml:space="preserve">it must increase the useful life by one year or more, OR </w:t>
      </w:r>
    </w:p>
    <w:p w14:paraId="7AB582E6" w14:textId="77777777" w:rsidR="00D3782C" w:rsidRPr="00914607" w:rsidRDefault="00D3782C" w:rsidP="00D3782C">
      <w:pPr>
        <w:pStyle w:val="ListParagraph"/>
        <w:numPr>
          <w:ilvl w:val="0"/>
          <w:numId w:val="47"/>
        </w:numPr>
        <w:rPr>
          <w:bCs/>
          <w:color w:val="000000"/>
        </w:rPr>
      </w:pPr>
      <w:r w:rsidRPr="00914607">
        <w:rPr>
          <w:bCs/>
          <w:color w:val="000000"/>
        </w:rPr>
        <w:t>it must add new or additional functionality to the existing piece of equipment/unit (additional functionally is defined as increasing the equipment’s condition beyond its original or current state or an increased range of operations that may enhance the equipment’s operating condition, increase in the equipment’s useful function or service capacity, or improve the quality of the service(s) delivered through the equipment’s use).</w:t>
      </w:r>
    </w:p>
    <w:p w14:paraId="206BA7F2" w14:textId="77777777" w:rsidR="00D3782C" w:rsidRPr="00914607" w:rsidRDefault="00D3782C" w:rsidP="00D3782C">
      <w:pPr>
        <w:rPr>
          <w:rFonts w:cstheme="minorHAnsi"/>
        </w:rPr>
      </w:pPr>
      <w:r w:rsidRPr="00914607">
        <w:rPr>
          <w:rFonts w:cstheme="minorHAnsi"/>
        </w:rPr>
        <w:t>Replacement parts purchased for, or repairs done to equipment to return it to s</w:t>
      </w:r>
      <w:r w:rsidRPr="00914607">
        <w:rPr>
          <w:rFonts w:eastAsia="Times New Roman" w:cstheme="minorHAnsi"/>
        </w:rPr>
        <w:t>uch condition that it can be effectively used for its designated purposes</w:t>
      </w:r>
      <w:r w:rsidRPr="00914607">
        <w:rPr>
          <w:rFonts w:cstheme="minorHAnsi"/>
        </w:rPr>
        <w:t xml:space="preserve"> are not considered upgrades and must be expensed as incurred. The following are examples of costs that should be expensed as incurred:</w:t>
      </w:r>
    </w:p>
    <w:p w14:paraId="5D16A217" w14:textId="77777777" w:rsidR="00D3782C" w:rsidRPr="00914607" w:rsidRDefault="00D3782C" w:rsidP="00D3782C">
      <w:pPr>
        <w:pStyle w:val="ListParagraph"/>
        <w:numPr>
          <w:ilvl w:val="0"/>
          <w:numId w:val="44"/>
        </w:numPr>
        <w:spacing w:after="0" w:line="240" w:lineRule="auto"/>
        <w:rPr>
          <w:rFonts w:cstheme="minorHAnsi"/>
        </w:rPr>
      </w:pPr>
      <w:r w:rsidRPr="00914607">
        <w:rPr>
          <w:rFonts w:cstheme="minorHAnsi"/>
        </w:rPr>
        <w:t>preservation of the equipment’s original serviceability</w:t>
      </w:r>
    </w:p>
    <w:p w14:paraId="48552884" w14:textId="77777777" w:rsidR="00D3782C" w:rsidRPr="00914607" w:rsidRDefault="00D3782C" w:rsidP="00D3782C">
      <w:pPr>
        <w:pStyle w:val="ListParagraph"/>
        <w:numPr>
          <w:ilvl w:val="0"/>
          <w:numId w:val="43"/>
        </w:numPr>
        <w:spacing w:after="0" w:line="240" w:lineRule="auto"/>
        <w:rPr>
          <w:rFonts w:cstheme="minorHAnsi"/>
        </w:rPr>
      </w:pPr>
      <w:r w:rsidRPr="00914607">
        <w:rPr>
          <w:rFonts w:cstheme="minorHAnsi"/>
        </w:rPr>
        <w:t>maintenance of efficient operating condition</w:t>
      </w:r>
    </w:p>
    <w:p w14:paraId="060039D5" w14:textId="77777777" w:rsidR="00D3782C" w:rsidRPr="00914607" w:rsidRDefault="00D3782C" w:rsidP="00D3782C">
      <w:pPr>
        <w:pStyle w:val="ListParagraph"/>
        <w:numPr>
          <w:ilvl w:val="0"/>
          <w:numId w:val="43"/>
        </w:numPr>
        <w:spacing w:after="0" w:line="240" w:lineRule="auto"/>
        <w:rPr>
          <w:rFonts w:cstheme="minorHAnsi"/>
        </w:rPr>
      </w:pPr>
      <w:r w:rsidRPr="00914607">
        <w:rPr>
          <w:rFonts w:cstheme="minorHAnsi"/>
        </w:rPr>
        <w:t>restoration of the equipment to its previous condition</w:t>
      </w:r>
    </w:p>
    <w:p w14:paraId="51B746BE" w14:textId="77777777" w:rsidR="00D3782C" w:rsidRPr="00914607" w:rsidRDefault="00D3782C" w:rsidP="00D3782C">
      <w:pPr>
        <w:pStyle w:val="ListParagraph"/>
        <w:numPr>
          <w:ilvl w:val="0"/>
          <w:numId w:val="43"/>
        </w:numPr>
        <w:spacing w:line="240" w:lineRule="auto"/>
        <w:rPr>
          <w:rFonts w:cstheme="minorHAnsi"/>
        </w:rPr>
      </w:pPr>
      <w:r w:rsidRPr="00914607">
        <w:rPr>
          <w:rFonts w:cstheme="minorHAnsi"/>
        </w:rPr>
        <w:t>Consumable portions of the equipment, which must be periodically replaced</w:t>
      </w:r>
    </w:p>
    <w:p w14:paraId="7F21C0DC" w14:textId="77777777" w:rsidR="00D3782C" w:rsidRPr="00914607" w:rsidRDefault="00D3782C" w:rsidP="0067441F">
      <w:pPr>
        <w:pStyle w:val="LevelI"/>
      </w:pPr>
      <w:r w:rsidRPr="00914607">
        <w:t>Fixed Equipment</w:t>
      </w:r>
    </w:p>
    <w:p w14:paraId="4CF0AFF5" w14:textId="77777777" w:rsidR="00D3782C" w:rsidRPr="00914607" w:rsidRDefault="00D3782C" w:rsidP="00D3782C">
      <w:pPr>
        <w:rPr>
          <w:bCs/>
          <w:color w:val="000000"/>
        </w:rPr>
      </w:pPr>
      <w:r w:rsidRPr="00914607">
        <w:rPr>
          <w:bCs/>
          <w:color w:val="000000"/>
        </w:rPr>
        <w:t xml:space="preserve">Fixed equipment includes assets that are permanently attached to and are an integral part of the operations of a building (i.e. elevators, coolers, boilers, etc.). This type of equipment may be purchased as part of a building or building improvement project or as a separate upgrade. When total associated costs for a single piece of fixed equipment are $100,000 or more it would be capitalized directly. If the fixed equipment is included as part of a construction project where total costs are at least $100,000, then the fixed equipment is treated as a Construction in Progress, or “CIP”, project. </w:t>
      </w:r>
    </w:p>
    <w:p w14:paraId="489B238B" w14:textId="77777777" w:rsidR="00D3782C" w:rsidRPr="00914607" w:rsidRDefault="00D3782C" w:rsidP="00D3782C">
      <w:pPr>
        <w:rPr>
          <w:bCs/>
          <w:color w:val="000000"/>
        </w:rPr>
      </w:pPr>
      <w:r w:rsidRPr="00914607">
        <w:rPr>
          <w:bCs/>
          <w:color w:val="000000"/>
        </w:rPr>
        <w:t>Fixed equipment, by definition, is attached to and part of a building, and it is therefore not necessary to inventory fixed equipment.</w:t>
      </w:r>
    </w:p>
    <w:p w14:paraId="02AF67A9" w14:textId="77777777" w:rsidR="00D3782C" w:rsidRPr="00914607" w:rsidRDefault="00D3782C" w:rsidP="00D3782C">
      <w:pPr>
        <w:rPr>
          <w:bCs/>
          <w:color w:val="000000"/>
        </w:rPr>
      </w:pPr>
      <w:r w:rsidRPr="00914607">
        <w:rPr>
          <w:bCs/>
          <w:color w:val="000000"/>
        </w:rPr>
        <w:t>When fixed equipment is included in a CIP project as one of many activities of the project, it is common practice that the fixed equipment be placed in service at the same time as the CIP project. Fixed equipment is separately identified in projects in buildings which are categorized as primarily lab use and are included in the componentization of assets.</w:t>
      </w:r>
    </w:p>
    <w:p w14:paraId="1E2881E8" w14:textId="77777777" w:rsidR="00D3782C" w:rsidRPr="00914607" w:rsidRDefault="00D3782C" w:rsidP="00D3782C">
      <w:pPr>
        <w:tabs>
          <w:tab w:val="left" w:pos="838"/>
          <w:tab w:val="left" w:pos="839"/>
        </w:tabs>
        <w:spacing w:before="1"/>
        <w:rPr>
          <w:rFonts w:cstheme="minorHAnsi"/>
          <w:bCs/>
          <w:color w:val="000000"/>
        </w:rPr>
      </w:pPr>
      <w:r w:rsidRPr="00914607">
        <w:rPr>
          <w:rFonts w:cstheme="minorHAnsi"/>
          <w:bCs/>
          <w:color w:val="000000"/>
        </w:rPr>
        <w:t xml:space="preserve">Considerations </w:t>
      </w:r>
      <w:proofErr w:type="gramStart"/>
      <w:r w:rsidRPr="00914607">
        <w:rPr>
          <w:rFonts w:cstheme="minorHAnsi"/>
          <w:bCs/>
          <w:color w:val="000000"/>
        </w:rPr>
        <w:t>for</w:t>
      </w:r>
      <w:proofErr w:type="gramEnd"/>
      <w:r w:rsidRPr="00914607">
        <w:rPr>
          <w:rFonts w:cstheme="minorHAnsi"/>
          <w:bCs/>
          <w:color w:val="000000"/>
        </w:rPr>
        <w:t xml:space="preserve"> whether fixed equipment should be included in </w:t>
      </w:r>
      <w:proofErr w:type="gramStart"/>
      <w:r w:rsidRPr="00914607">
        <w:rPr>
          <w:rFonts w:cstheme="minorHAnsi"/>
          <w:bCs/>
          <w:color w:val="000000"/>
        </w:rPr>
        <w:t>a CIP</w:t>
      </w:r>
      <w:proofErr w:type="gramEnd"/>
      <w:r w:rsidRPr="00914607">
        <w:rPr>
          <w:rFonts w:cstheme="minorHAnsi"/>
          <w:bCs/>
          <w:color w:val="000000"/>
        </w:rPr>
        <w:t xml:space="preserve"> project are below:</w:t>
      </w:r>
    </w:p>
    <w:p w14:paraId="130C6E03" w14:textId="77777777" w:rsidR="00D3782C" w:rsidRPr="00914607" w:rsidRDefault="00D3782C" w:rsidP="00D3782C">
      <w:pPr>
        <w:pStyle w:val="ListParagraph"/>
        <w:widowControl w:val="0"/>
        <w:numPr>
          <w:ilvl w:val="0"/>
          <w:numId w:val="42"/>
        </w:numPr>
        <w:autoSpaceDE w:val="0"/>
        <w:autoSpaceDN w:val="0"/>
        <w:spacing w:after="0" w:line="240" w:lineRule="auto"/>
        <w:contextualSpacing w:val="0"/>
        <w:rPr>
          <w:rFonts w:cstheme="minorHAnsi"/>
          <w:bCs/>
          <w:color w:val="000000"/>
        </w:rPr>
      </w:pPr>
      <w:r w:rsidRPr="00914607">
        <w:rPr>
          <w:rFonts w:cstheme="minorHAnsi"/>
          <w:bCs/>
          <w:color w:val="000000"/>
        </w:rPr>
        <w:t>Installation is being done in conjunction with overall CIP project work</w:t>
      </w:r>
    </w:p>
    <w:p w14:paraId="5EE53391" w14:textId="77777777" w:rsidR="00D3782C" w:rsidRPr="00914607" w:rsidRDefault="00D3782C" w:rsidP="00D3782C">
      <w:pPr>
        <w:pStyle w:val="ListParagraph"/>
        <w:widowControl w:val="0"/>
        <w:numPr>
          <w:ilvl w:val="0"/>
          <w:numId w:val="42"/>
        </w:numPr>
        <w:autoSpaceDE w:val="0"/>
        <w:autoSpaceDN w:val="0"/>
        <w:spacing w:after="0" w:line="240" w:lineRule="auto"/>
        <w:contextualSpacing w:val="0"/>
        <w:rPr>
          <w:rFonts w:cstheme="minorHAnsi"/>
          <w:bCs/>
          <w:color w:val="000000"/>
        </w:rPr>
      </w:pPr>
      <w:r w:rsidRPr="00914607">
        <w:rPr>
          <w:rFonts w:cstheme="minorHAnsi"/>
          <w:bCs/>
          <w:color w:val="000000"/>
        </w:rPr>
        <w:t xml:space="preserve">The CIP project would not be complete without the item </w:t>
      </w:r>
    </w:p>
    <w:p w14:paraId="19F830A6" w14:textId="77777777" w:rsidR="00D3782C" w:rsidRPr="00914607" w:rsidRDefault="00D3782C" w:rsidP="00D3782C">
      <w:pPr>
        <w:pStyle w:val="ListParagraph"/>
        <w:widowControl w:val="0"/>
        <w:numPr>
          <w:ilvl w:val="0"/>
          <w:numId w:val="42"/>
        </w:numPr>
        <w:autoSpaceDE w:val="0"/>
        <w:autoSpaceDN w:val="0"/>
        <w:spacing w:after="0" w:line="240" w:lineRule="auto"/>
        <w:contextualSpacing w:val="0"/>
        <w:rPr>
          <w:rFonts w:cstheme="minorHAnsi"/>
          <w:bCs/>
          <w:color w:val="000000"/>
        </w:rPr>
      </w:pPr>
      <w:r w:rsidRPr="00914607">
        <w:rPr>
          <w:rFonts w:cstheme="minorHAnsi"/>
          <w:bCs/>
          <w:color w:val="000000"/>
        </w:rPr>
        <w:t>The equipment requires removal or installation by a professional</w:t>
      </w:r>
    </w:p>
    <w:p w14:paraId="616F0427" w14:textId="77777777" w:rsidR="00D3782C" w:rsidRPr="00914607" w:rsidRDefault="00D3782C" w:rsidP="00D3782C">
      <w:pPr>
        <w:pStyle w:val="ListParagraph"/>
        <w:widowControl w:val="0"/>
        <w:numPr>
          <w:ilvl w:val="0"/>
          <w:numId w:val="42"/>
        </w:numPr>
        <w:autoSpaceDE w:val="0"/>
        <w:autoSpaceDN w:val="0"/>
        <w:spacing w:after="0" w:line="240" w:lineRule="auto"/>
        <w:contextualSpacing w:val="0"/>
        <w:rPr>
          <w:rFonts w:cstheme="minorHAnsi"/>
          <w:bCs/>
          <w:color w:val="000000"/>
        </w:rPr>
      </w:pPr>
      <w:r w:rsidRPr="00914607">
        <w:rPr>
          <w:rFonts w:cstheme="minorHAnsi"/>
          <w:bCs/>
          <w:color w:val="000000"/>
        </w:rPr>
        <w:t xml:space="preserve">Municipal acceptance of the CIP project (Certificate of Occupancy or sign-off on a permit) work requires the equipment </w:t>
      </w:r>
      <w:proofErr w:type="gramStart"/>
      <w:r w:rsidRPr="00914607">
        <w:rPr>
          <w:rFonts w:cstheme="minorHAnsi"/>
          <w:bCs/>
          <w:color w:val="000000"/>
        </w:rPr>
        <w:t>be</w:t>
      </w:r>
      <w:proofErr w:type="gramEnd"/>
      <w:r w:rsidRPr="00914607">
        <w:rPr>
          <w:rFonts w:cstheme="minorHAnsi"/>
          <w:bCs/>
          <w:color w:val="000000"/>
        </w:rPr>
        <w:t xml:space="preserve"> installed and operational</w:t>
      </w:r>
    </w:p>
    <w:p w14:paraId="7AFF40AE" w14:textId="77777777" w:rsidR="00D3782C" w:rsidRPr="00914607" w:rsidRDefault="00D3782C" w:rsidP="00D3782C">
      <w:pPr>
        <w:pStyle w:val="ListParagraph"/>
        <w:widowControl w:val="0"/>
        <w:numPr>
          <w:ilvl w:val="0"/>
          <w:numId w:val="42"/>
        </w:numPr>
        <w:autoSpaceDE w:val="0"/>
        <w:autoSpaceDN w:val="0"/>
        <w:spacing w:after="0" w:line="240" w:lineRule="auto"/>
        <w:contextualSpacing w:val="0"/>
        <w:rPr>
          <w:rFonts w:cstheme="minorHAnsi"/>
          <w:bCs/>
          <w:color w:val="000000"/>
        </w:rPr>
      </w:pPr>
      <w:r w:rsidRPr="00914607">
        <w:rPr>
          <w:rFonts w:cstheme="minorHAnsi"/>
          <w:bCs/>
          <w:color w:val="000000"/>
        </w:rPr>
        <w:t xml:space="preserve">Equipment cannot be easily moved to another building (Note - if it can be easily relocated, it might still be part of a CIP </w:t>
      </w:r>
      <w:proofErr w:type="gramStart"/>
      <w:r w:rsidRPr="00914607">
        <w:rPr>
          <w:rFonts w:cstheme="minorHAnsi"/>
          <w:bCs/>
          <w:color w:val="000000"/>
        </w:rPr>
        <w:t>project, but</w:t>
      </w:r>
      <w:proofErr w:type="gramEnd"/>
      <w:r w:rsidRPr="00914607">
        <w:rPr>
          <w:rFonts w:cstheme="minorHAnsi"/>
          <w:bCs/>
          <w:color w:val="000000"/>
        </w:rPr>
        <w:t xml:space="preserve"> classified as MFE rather than fixed equipment.)</w:t>
      </w:r>
    </w:p>
    <w:p w14:paraId="2D613E5C" w14:textId="77777777" w:rsidR="00D3782C" w:rsidRPr="00914607" w:rsidRDefault="00D3782C" w:rsidP="00D3782C">
      <w:pPr>
        <w:tabs>
          <w:tab w:val="left" w:pos="838"/>
          <w:tab w:val="left" w:pos="839"/>
        </w:tabs>
        <w:spacing w:before="1"/>
        <w:rPr>
          <w:rFonts w:cstheme="minorHAnsi"/>
          <w:bCs/>
          <w:color w:val="000000"/>
        </w:rPr>
      </w:pPr>
      <w:r w:rsidRPr="00914607">
        <w:rPr>
          <w:rFonts w:cstheme="minorHAnsi"/>
          <w:bCs/>
          <w:color w:val="000000"/>
        </w:rPr>
        <w:lastRenderedPageBreak/>
        <w:t xml:space="preserve">CIP projects for lab renovations include permanent equipment that is specific to the lab but could be retained and used by others within the School. (Specifically excluded </w:t>
      </w:r>
      <w:proofErr w:type="gramStart"/>
      <w:r w:rsidRPr="00914607">
        <w:rPr>
          <w:rFonts w:cstheme="minorHAnsi"/>
          <w:bCs/>
          <w:color w:val="000000"/>
        </w:rPr>
        <w:t>is</w:t>
      </w:r>
      <w:proofErr w:type="gramEnd"/>
      <w:r w:rsidRPr="00914607">
        <w:rPr>
          <w:rFonts w:cstheme="minorHAnsi"/>
          <w:bCs/>
          <w:color w:val="000000"/>
        </w:rPr>
        <w:t xml:space="preserve"> scientific equipment or instruments.) Examples of fixed lab equipment include:</w:t>
      </w:r>
    </w:p>
    <w:p w14:paraId="06A21FAD" w14:textId="77777777" w:rsidR="00D3782C" w:rsidRPr="00914607" w:rsidRDefault="00D3782C" w:rsidP="00D3782C">
      <w:pPr>
        <w:pStyle w:val="ListParagraph"/>
        <w:widowControl w:val="0"/>
        <w:numPr>
          <w:ilvl w:val="0"/>
          <w:numId w:val="45"/>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Built-in benches, bins, cabinets, counters, shelving</w:t>
      </w:r>
    </w:p>
    <w:p w14:paraId="14A5D192" w14:textId="77777777" w:rsidR="00D3782C" w:rsidRPr="00914607" w:rsidRDefault="00D3782C" w:rsidP="00D3782C">
      <w:pPr>
        <w:pStyle w:val="ListParagraph"/>
        <w:widowControl w:val="0"/>
        <w:numPr>
          <w:ilvl w:val="0"/>
          <w:numId w:val="45"/>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Conveying systems</w:t>
      </w:r>
    </w:p>
    <w:p w14:paraId="3865777A" w14:textId="77777777" w:rsidR="00D3782C" w:rsidRPr="00914607" w:rsidRDefault="00D3782C" w:rsidP="00D3782C">
      <w:pPr>
        <w:pStyle w:val="ListParagraph"/>
        <w:widowControl w:val="0"/>
        <w:numPr>
          <w:ilvl w:val="0"/>
          <w:numId w:val="45"/>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Fume hoods</w:t>
      </w:r>
    </w:p>
    <w:p w14:paraId="27A547F5" w14:textId="77777777" w:rsidR="00D3782C" w:rsidRPr="00914607" w:rsidRDefault="00D3782C" w:rsidP="00D3782C">
      <w:pPr>
        <w:pStyle w:val="ListParagraph"/>
        <w:widowControl w:val="0"/>
        <w:numPr>
          <w:ilvl w:val="0"/>
          <w:numId w:val="45"/>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Sinks and drain boards.</w:t>
      </w:r>
    </w:p>
    <w:p w14:paraId="0AC6442B" w14:textId="77777777" w:rsidR="00D3782C" w:rsidRPr="00914607" w:rsidRDefault="00D3782C" w:rsidP="00D3782C">
      <w:pPr>
        <w:pStyle w:val="ListParagraph"/>
        <w:widowControl w:val="0"/>
        <w:numPr>
          <w:ilvl w:val="0"/>
          <w:numId w:val="45"/>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Sterilizers (built-in).</w:t>
      </w:r>
    </w:p>
    <w:p w14:paraId="7331E801" w14:textId="77777777" w:rsidR="00D3782C" w:rsidRPr="00914607" w:rsidRDefault="00D3782C" w:rsidP="00D3782C">
      <w:pPr>
        <w:tabs>
          <w:tab w:val="left" w:pos="838"/>
          <w:tab w:val="left" w:pos="839"/>
        </w:tabs>
        <w:spacing w:before="1"/>
        <w:rPr>
          <w:rFonts w:cstheme="minorHAnsi"/>
          <w:bCs/>
          <w:color w:val="000000"/>
        </w:rPr>
      </w:pPr>
      <w:r w:rsidRPr="00914607">
        <w:rPr>
          <w:rFonts w:cstheme="minorHAnsi"/>
          <w:bCs/>
          <w:color w:val="000000"/>
        </w:rPr>
        <w:t xml:space="preserve">By contrast, the following are not capitalizable: </w:t>
      </w:r>
    </w:p>
    <w:p w14:paraId="5C9E6C04" w14:textId="77777777" w:rsidR="00D3782C" w:rsidRPr="00914607" w:rsidRDefault="00D3782C" w:rsidP="00D3782C">
      <w:pPr>
        <w:pStyle w:val="ListParagraph"/>
        <w:widowControl w:val="0"/>
        <w:numPr>
          <w:ilvl w:val="0"/>
          <w:numId w:val="46"/>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repair and maintenance costs,</w:t>
      </w:r>
    </w:p>
    <w:p w14:paraId="44A2C6D2" w14:textId="77777777" w:rsidR="00D3782C" w:rsidRPr="00914607" w:rsidRDefault="00D3782C" w:rsidP="00D3782C">
      <w:pPr>
        <w:pStyle w:val="ListParagraph"/>
        <w:widowControl w:val="0"/>
        <w:numPr>
          <w:ilvl w:val="0"/>
          <w:numId w:val="46"/>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separate warranty or maintenance contracts,</w:t>
      </w:r>
    </w:p>
    <w:p w14:paraId="33B23950" w14:textId="77777777" w:rsidR="00D3782C" w:rsidRPr="00914607" w:rsidRDefault="00D3782C" w:rsidP="00D3782C">
      <w:pPr>
        <w:pStyle w:val="ListParagraph"/>
        <w:widowControl w:val="0"/>
        <w:numPr>
          <w:ilvl w:val="0"/>
          <w:numId w:val="46"/>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demolishing or dismantling costs,</w:t>
      </w:r>
    </w:p>
    <w:p w14:paraId="574D6F6D" w14:textId="461CC9BB" w:rsidR="00D3782C" w:rsidRPr="00ED04C6" w:rsidRDefault="00ED04C6" w:rsidP="09BCA8D2">
      <w:pPr>
        <w:pStyle w:val="ListParagraph"/>
        <w:widowControl w:val="0"/>
        <w:numPr>
          <w:ilvl w:val="0"/>
          <w:numId w:val="46"/>
        </w:numPr>
        <w:tabs>
          <w:tab w:val="left" w:pos="838"/>
          <w:tab w:val="left" w:pos="839"/>
        </w:tabs>
        <w:autoSpaceDE w:val="0"/>
        <w:autoSpaceDN w:val="0"/>
        <w:spacing w:line="240" w:lineRule="auto"/>
        <w:rPr>
          <w:color w:val="000000"/>
        </w:rPr>
      </w:pPr>
      <w:r>
        <w:rPr>
          <w:color w:val="000000" w:themeColor="text1"/>
        </w:rPr>
        <w:t>s</w:t>
      </w:r>
      <w:r w:rsidR="00D3782C" w:rsidRPr="00ED04C6">
        <w:rPr>
          <w:color w:val="000000" w:themeColor="text1"/>
        </w:rPr>
        <w:t>pare or replacement parts.</w:t>
      </w:r>
    </w:p>
    <w:p w14:paraId="50B89FBC" w14:textId="77777777" w:rsidR="00D3782C" w:rsidRPr="00914607" w:rsidRDefault="00D3782C" w:rsidP="0067441F">
      <w:pPr>
        <w:pStyle w:val="LevelI"/>
      </w:pPr>
      <w:r w:rsidRPr="00914607">
        <w:rPr>
          <w:bCs/>
          <w:u w:val="single"/>
        </w:rPr>
        <w:t>Moveable Furniture and Fixtures (MFE)</w:t>
      </w:r>
      <w:r w:rsidRPr="00914607">
        <w:t xml:space="preserve"> - Acquired by construction as part of a building</w:t>
      </w:r>
    </w:p>
    <w:p w14:paraId="55D4C1CB" w14:textId="77777777" w:rsidR="00D3782C" w:rsidRPr="00B7356B" w:rsidRDefault="00D3782C" w:rsidP="00D3782C">
      <w:r w:rsidRPr="00914607">
        <w:t>MFE costs that are part of a larger building construction project are treated separately from the building itself and depreciated according to their expected useful lives, which are typically less than the useful life of the building itself. These costs must be recorded within the CIP range of object codes for MFE (1410-1419). At the project’s close, MFE costs will be placed into service by crediting object code 1621 and debiting the equipment/furnishings asset classes that correspond to the CIP object codes to which they were originally charged.</w:t>
      </w:r>
    </w:p>
    <w:p w14:paraId="1B5CEB06" w14:textId="77777777" w:rsidR="0067441F" w:rsidRDefault="00D3782C" w:rsidP="0067441F">
      <w:pPr>
        <w:pStyle w:val="LevelI"/>
      </w:pPr>
      <w:r w:rsidRPr="09BCA8D2">
        <w:rPr>
          <w:bCs/>
          <w:u w:val="single"/>
        </w:rPr>
        <w:t>Object codes</w:t>
      </w:r>
      <w:r w:rsidRPr="09BCA8D2">
        <w:rPr>
          <w:bCs/>
        </w:rPr>
        <w:t>:</w:t>
      </w:r>
    </w:p>
    <w:p w14:paraId="5E1B620F" w14:textId="14C3172E" w:rsidR="00D3782C" w:rsidRPr="00B7356B" w:rsidRDefault="00D3782C" w:rsidP="0067441F">
      <w:r>
        <w:t xml:space="preserve">Constructed equipment costs that are </w:t>
      </w:r>
      <w:r w:rsidRPr="09BCA8D2">
        <w:rPr>
          <w:u w:val="single"/>
        </w:rPr>
        <w:t>not</w:t>
      </w:r>
      <w:r>
        <w:t xml:space="preserve"> part of a larger building construction project but that are distinct projects are recorded initially through either expense object code 6811, “Non-Sponsored Work in </w:t>
      </w:r>
      <w:proofErr w:type="spellStart"/>
      <w:r>
        <w:t>Progress^</w:t>
      </w:r>
      <w:r w:rsidRPr="00ED04C6">
        <w:t>Equipment</w:t>
      </w:r>
      <w:proofErr w:type="spellEnd"/>
      <w:r w:rsidRPr="00ED04C6">
        <w:t xml:space="preserve"> </w:t>
      </w:r>
      <w:r w:rsidR="006A19E0" w:rsidRPr="00591F00">
        <w:t>Capital per PPE Policy</w:t>
      </w:r>
      <w:r w:rsidRPr="00ED04C6">
        <w:t xml:space="preserve">”, or object code 6812, “Sponsored Work in </w:t>
      </w:r>
      <w:proofErr w:type="spellStart"/>
      <w:r w:rsidRPr="00ED04C6">
        <w:t>Progress^Equipment</w:t>
      </w:r>
      <w:proofErr w:type="spellEnd"/>
      <w:r w:rsidRPr="00ED04C6">
        <w:t xml:space="preserve"> </w:t>
      </w:r>
      <w:r w:rsidR="006A19E0" w:rsidRPr="00ED04C6">
        <w:t>Capital per PPE Policy</w:t>
      </w:r>
      <w:r w:rsidRPr="00ED04C6">
        <w:t>.” Debt- financed equipment WIP expenditures are charged directly to the balance sheet using</w:t>
      </w:r>
      <w:r>
        <w:t xml:space="preserve"> object code 1140, “Equipment, Debt-financed, WIP.” On a nightly basis, items charged to object codes 6811 and 6812 are reclassified to object codes 1150, "Equip WIP, Non-sponsored" and 1151, "Equip WIP, Sponsored," respectively, via the Oracle fixed asset sub ledger accounting (SLA). This reclassification adjustment is recorded through a special contra-fund. As a result, the equipment expenditure remains recorded in the original fund that was charged.</w:t>
      </w:r>
    </w:p>
    <w:p w14:paraId="5B8DC711" w14:textId="77777777" w:rsidR="00D3782C" w:rsidRPr="00914607" w:rsidRDefault="00D3782C" w:rsidP="0067441F">
      <w:pPr>
        <w:pStyle w:val="LevelI"/>
      </w:pPr>
      <w:r w:rsidRPr="00914607">
        <w:t>Service Center Assets</w:t>
      </w:r>
    </w:p>
    <w:p w14:paraId="691ACD69" w14:textId="77777777" w:rsidR="00D3782C" w:rsidRPr="00914607" w:rsidRDefault="00D3782C" w:rsidP="00D3782C">
      <w:r w:rsidRPr="00914607">
        <w:t>Academic Service Centers are units within Harvard departments or centers that charge for goods or services that directly support the research or academic mission of the University and recover costs through charges to internal and external users. All Academic Service Centers are expected to recover no more than the aggregate costs of their operations through charges to users. As such, equipment purchased for use in service centers may have a useful life that is longer or shorter than the default useful life of the equipment category used. Oracle Fixed Assets uses subcategories for these service center assets, allowing users to adjust the useful life to one that more closely matches the duration the equipment will be utilized in a service center.</w:t>
      </w:r>
    </w:p>
    <w:p w14:paraId="4447271C" w14:textId="77777777" w:rsidR="00D3782C" w:rsidRPr="00914607" w:rsidRDefault="00D3782C" w:rsidP="00D3782C">
      <w:r w:rsidRPr="00914607">
        <w:t xml:space="preserve">For more information on Academic Service Centers, see the OSP </w:t>
      </w:r>
      <w:hyperlink r:id="rId18" w:history="1">
        <w:r w:rsidRPr="00914607">
          <w:rPr>
            <w:rStyle w:val="Hyperlink"/>
            <w:rFonts w:cstheme="minorHAnsi"/>
          </w:rPr>
          <w:t>Academic Service Center Policy</w:t>
        </w:r>
      </w:hyperlink>
      <w:r w:rsidRPr="00914607">
        <w:t xml:space="preserve">. For a list of available service center subcategories and useful lives, see </w:t>
      </w:r>
      <w:hyperlink w:anchor="Appendix_C_Depreciating" w:history="1">
        <w:r w:rsidRPr="00914607">
          <w:rPr>
            <w:rStyle w:val="Hyperlink"/>
            <w:rFonts w:cstheme="minorHAnsi"/>
          </w:rPr>
          <w:t>Appendix C</w:t>
        </w:r>
      </w:hyperlink>
      <w:r w:rsidRPr="00914607">
        <w:t>.</w:t>
      </w:r>
    </w:p>
    <w:p w14:paraId="78B44193" w14:textId="77777777" w:rsidR="00D3782C" w:rsidRPr="00914607" w:rsidRDefault="00D3782C" w:rsidP="0067441F">
      <w:pPr>
        <w:pStyle w:val="LevelI"/>
      </w:pPr>
      <w:r w:rsidRPr="00914607">
        <w:lastRenderedPageBreak/>
        <w:t>Other Acquisition Types</w:t>
      </w:r>
    </w:p>
    <w:p w14:paraId="36448D87" w14:textId="77777777" w:rsidR="00D3782C" w:rsidRPr="00914607" w:rsidRDefault="00D3782C" w:rsidP="00D3782C">
      <w:r w:rsidRPr="00914607">
        <w:t xml:space="preserve">New faculty transfers – When a new faculty member arrives with equipment, the equipment must be treated accordingly. If ownership/title of the equipment remains with either the faculty member or original purchasing institution, no accounting entries are required. However, local policy may dictate that the equipment be recorded in Oracle Fixed Assets at zero cost in order to track the equipment. If ownership/title of the equipment is transferred to the University, it is necessary to record the equipment in Oracle Fixed Assets at zero cost to be able to track the equipment. If payment is made to the original purchasing institution, the assets will automatically be captured through the Accounts Payable process. If title is transferred without payment the Alumni Affairs and Development Gift Policy Guide must be adhered </w:t>
      </w:r>
      <w:proofErr w:type="gramStart"/>
      <w:r w:rsidRPr="00914607">
        <w:t>to</w:t>
      </w:r>
      <w:proofErr w:type="gramEnd"/>
      <w:r w:rsidRPr="00914607">
        <w:t xml:space="preserve"> and the acquiring school or unit will need to manually record the equipment in Oracle Fixed Assets and record a corresponding entry to account for the value of the donated assets.</w:t>
      </w:r>
    </w:p>
    <w:p w14:paraId="7EF647E2" w14:textId="77777777" w:rsidR="00D3782C" w:rsidRDefault="00D3782C" w:rsidP="00D3782C">
      <w:pPr>
        <w:pStyle w:val="BodyText"/>
        <w:spacing w:after="120"/>
        <w:ind w:right="187"/>
        <w:rPr>
          <w:sz w:val="22"/>
          <w:szCs w:val="22"/>
        </w:rPr>
      </w:pPr>
      <w:r w:rsidRPr="00914607">
        <w:rPr>
          <w:rFonts w:asciiTheme="minorHAnsi" w:hAnsiTheme="minorHAnsi" w:cstheme="minorHAnsi"/>
          <w:sz w:val="22"/>
          <w:szCs w:val="22"/>
        </w:rPr>
        <w:t xml:space="preserve">Assets provided by the Federal Government – When a federal agency provides a school or unit with equipment, the agency retains title to the asset. However, the University is still obligated to track this </w:t>
      </w:r>
      <w:r w:rsidRPr="00B7356B">
        <w:rPr>
          <w:sz w:val="22"/>
          <w:szCs w:val="22"/>
        </w:rPr>
        <w:t>asset. The school or unit receiving these types of assets are required to enter the assets into Oracle Fixed Assets at zero cost so that it can be tracked and inventoried.</w:t>
      </w:r>
    </w:p>
    <w:p w14:paraId="4930B31F" w14:textId="77777777" w:rsidR="00D3782C" w:rsidRPr="00B7356B" w:rsidRDefault="00D3782C" w:rsidP="0067441F">
      <w:pPr>
        <w:pStyle w:val="LevelI"/>
      </w:pPr>
      <w:r w:rsidRPr="00B7356B">
        <w:t>Software</w:t>
      </w:r>
    </w:p>
    <w:p w14:paraId="7F480088" w14:textId="36977E41" w:rsidR="00D3782C" w:rsidRDefault="00D3782C" w:rsidP="004A1838">
      <w:pPr>
        <w:rPr>
          <w:b/>
          <w:bCs/>
          <w:u w:val="single"/>
        </w:rPr>
      </w:pPr>
      <w:r w:rsidRPr="00914607">
        <w:t xml:space="preserve">See separate </w:t>
      </w:r>
      <w:hyperlink r:id="rId19" w:history="1">
        <w:r w:rsidRPr="00914607">
          <w:rPr>
            <w:rStyle w:val="Hyperlink"/>
            <w:rFonts w:cstheme="minorHAnsi"/>
          </w:rPr>
          <w:t>Software Policy</w:t>
        </w:r>
      </w:hyperlink>
    </w:p>
    <w:p w14:paraId="0849589F" w14:textId="77777777" w:rsidR="00D3782C" w:rsidRPr="00B7356B" w:rsidRDefault="00D3782C" w:rsidP="0067441F">
      <w:pPr>
        <w:pStyle w:val="LevelI"/>
      </w:pPr>
      <w:r w:rsidRPr="00B7356B">
        <w:t>Accounting for fully depreciated assets</w:t>
      </w:r>
    </w:p>
    <w:p w14:paraId="00D97EF1" w14:textId="77777777" w:rsidR="00D3782C" w:rsidRPr="00FB717D" w:rsidRDefault="00D3782C" w:rsidP="00D3782C">
      <w:r w:rsidRPr="00FB717D">
        <w:t xml:space="preserve">Assets that remain in use, regardless of net book value, should remain in Oracle Fixed Assets. Assets that are fully depreciated (the </w:t>
      </w:r>
      <w:proofErr w:type="gramStart"/>
      <w:r w:rsidRPr="00FB717D">
        <w:t>net book</w:t>
      </w:r>
      <w:proofErr w:type="gramEnd"/>
      <w:r w:rsidRPr="00FB717D">
        <w:t xml:space="preserve"> value of </w:t>
      </w:r>
      <w:proofErr w:type="gramStart"/>
      <w:r w:rsidRPr="00FB717D">
        <w:t>the asset</w:t>
      </w:r>
      <w:proofErr w:type="gramEnd"/>
      <w:r w:rsidRPr="00FB717D">
        <w:t xml:space="preserve"> less accumulated depreciation is zero) and no longer in use and or are obsolete, must be written off in Oracle Fixed Assets. This is performed by the fixed asset manager at the </w:t>
      </w:r>
      <w:r>
        <w:t>school or unit</w:t>
      </w:r>
      <w:r w:rsidRPr="00FB717D">
        <w:t xml:space="preserve"> level.</w:t>
      </w:r>
    </w:p>
    <w:p w14:paraId="32E7995A" w14:textId="77777777" w:rsidR="00D3782C" w:rsidRPr="00B7356B" w:rsidRDefault="00D3782C" w:rsidP="0067441F">
      <w:pPr>
        <w:pStyle w:val="LevelI"/>
      </w:pPr>
      <w:r w:rsidRPr="00B7356B">
        <w:t>Placed in Service Date (PIS)</w:t>
      </w:r>
    </w:p>
    <w:p w14:paraId="79F2D534" w14:textId="77777777" w:rsidR="00D3782C" w:rsidRPr="00FB717D" w:rsidRDefault="00D3782C" w:rsidP="00D3782C">
      <w:r w:rsidRPr="00FB717D">
        <w:t xml:space="preserve">For </w:t>
      </w:r>
      <w:r w:rsidRPr="00FB717D">
        <w:rPr>
          <w:u w:val="single"/>
        </w:rPr>
        <w:t>purchased</w:t>
      </w:r>
      <w:r w:rsidRPr="00FB717D">
        <w:t xml:space="preserve"> equipment assets, the placed </w:t>
      </w:r>
      <w:proofErr w:type="gramStart"/>
      <w:r w:rsidRPr="00FB717D">
        <w:t>in service</w:t>
      </w:r>
      <w:proofErr w:type="gramEnd"/>
      <w:r w:rsidRPr="00FB717D">
        <w:t xml:space="preserve"> date defaults to the invoice date contained in the AP feed that populates the Oracle Asset Workbench. For </w:t>
      </w:r>
      <w:r w:rsidRPr="00FB717D">
        <w:rPr>
          <w:u w:val="single"/>
        </w:rPr>
        <w:t>fabricated</w:t>
      </w:r>
      <w:r w:rsidRPr="00FB717D">
        <w:t xml:space="preserve"> equipment assets, the placed </w:t>
      </w:r>
      <w:proofErr w:type="gramStart"/>
      <w:r w:rsidRPr="00FB717D">
        <w:t>in service</w:t>
      </w:r>
      <w:proofErr w:type="gramEnd"/>
      <w:r w:rsidRPr="00FB717D">
        <w:t xml:space="preserve"> date should be the date the asset is sufficiently developed or is producing intended results. This date is also used to begin depreciation. In some cases, local asset managers will </w:t>
      </w:r>
      <w:proofErr w:type="gramStart"/>
      <w:r w:rsidRPr="00FB717D">
        <w:t>have a need</w:t>
      </w:r>
      <w:proofErr w:type="gramEnd"/>
      <w:r w:rsidRPr="00FB717D">
        <w:t xml:space="preserve"> to change the placed </w:t>
      </w:r>
      <w:proofErr w:type="gramStart"/>
      <w:r w:rsidRPr="00FB717D">
        <w:t>in service</w:t>
      </w:r>
      <w:proofErr w:type="gramEnd"/>
      <w:r w:rsidRPr="00FB717D">
        <w:t xml:space="preserve"> date to a different date. (For example, a new piece of equipment is being </w:t>
      </w:r>
      <w:proofErr w:type="gramStart"/>
      <w:r w:rsidRPr="00FB717D">
        <w:t>installed</w:t>
      </w:r>
      <w:proofErr w:type="gramEnd"/>
      <w:r w:rsidRPr="00FB717D">
        <w:t xml:space="preserve"> and additional parts are being added. It takes 3 months to get the equipment ready for service.) In these cases, it will be the </w:t>
      </w:r>
      <w:r>
        <w:t>school or unit’s</w:t>
      </w:r>
      <w:r w:rsidRPr="00FB717D">
        <w:t xml:space="preserve"> fixed asset manager or financial </w:t>
      </w:r>
      <w:proofErr w:type="gramStart"/>
      <w:r w:rsidRPr="00FB717D">
        <w:t>manager</w:t>
      </w:r>
      <w:proofErr w:type="gramEnd"/>
      <w:r w:rsidRPr="00FB717D">
        <w:t xml:space="preserve"> responsibility to manually adjust the placed </w:t>
      </w:r>
      <w:proofErr w:type="gramStart"/>
      <w:r w:rsidRPr="00FB717D">
        <w:t>in service</w:t>
      </w:r>
      <w:proofErr w:type="gramEnd"/>
      <w:r w:rsidRPr="00FB717D">
        <w:t xml:space="preserve"> date.</w:t>
      </w:r>
    </w:p>
    <w:p w14:paraId="73EA2A7B" w14:textId="52054F00" w:rsidR="00D3782C" w:rsidRPr="00FB717D" w:rsidRDefault="00D3782C" w:rsidP="00D3782C">
      <w:r>
        <w:t xml:space="preserve">For constructed assets, the placed </w:t>
      </w:r>
      <w:proofErr w:type="gramStart"/>
      <w:r>
        <w:t>in service</w:t>
      </w:r>
      <w:proofErr w:type="gramEnd"/>
      <w:r>
        <w:t xml:space="preserve"> date is the date </w:t>
      </w:r>
      <w:r w:rsidR="60DC7BD3">
        <w:t xml:space="preserve">of </w:t>
      </w:r>
      <w:r>
        <w:t xml:space="preserve">the CO or TCO if use of the asset occurs, was issued. If no certificate is needed, the placed </w:t>
      </w:r>
      <w:proofErr w:type="gramStart"/>
      <w:r>
        <w:t>in service</w:t>
      </w:r>
      <w:proofErr w:type="gramEnd"/>
      <w:r>
        <w:t xml:space="preserve"> date will be the Certificate of Substantial Completion has been received from the contractor, or municipal </w:t>
      </w:r>
      <w:proofErr w:type="gramStart"/>
      <w:r>
        <w:t>sign-offs</w:t>
      </w:r>
      <w:proofErr w:type="gramEnd"/>
      <w:r>
        <w:t xml:space="preserve"> on construction permits have been received that allow use of the space/asset.</w:t>
      </w:r>
    </w:p>
    <w:p w14:paraId="796C9935" w14:textId="77777777" w:rsidR="00D3782C" w:rsidRPr="00B7356B" w:rsidRDefault="00D3782C" w:rsidP="0067441F">
      <w:pPr>
        <w:pStyle w:val="LevelI"/>
      </w:pPr>
      <w:r w:rsidRPr="00B7356B">
        <w:t>Research &amp; Development Costs</w:t>
      </w:r>
    </w:p>
    <w:p w14:paraId="563E6F14" w14:textId="77777777" w:rsidR="00D3782C" w:rsidRPr="00FB717D" w:rsidRDefault="00D3782C" w:rsidP="00D3782C">
      <w:r w:rsidRPr="00FB717D">
        <w:t xml:space="preserve">Generally Accepted Accounting Principles (GAAP) require research and development costs </w:t>
      </w:r>
      <w:proofErr w:type="gramStart"/>
      <w:r w:rsidRPr="00FB717D">
        <w:t>be</w:t>
      </w:r>
      <w:proofErr w:type="gramEnd"/>
      <w:r w:rsidRPr="00FB717D">
        <w:t xml:space="preserve"> expensed as incurred. ASC 730-10-20 defines research and development costs as follows:</w:t>
      </w:r>
    </w:p>
    <w:p w14:paraId="3438309A" w14:textId="77777777" w:rsidR="00D3782C" w:rsidRPr="00FB717D" w:rsidRDefault="00D3782C" w:rsidP="00D3782C">
      <w:r w:rsidRPr="00FB717D">
        <w:t xml:space="preserve">Research is planned search or critical investigation aimed at discovery of new knowledge with the hope that such knowledge will be useful in developing a new product or service (referred to as </w:t>
      </w:r>
      <w:r w:rsidRPr="00FB717D">
        <w:lastRenderedPageBreak/>
        <w:t>product) or a new process or technique (referred to as process) or in bringing about a significant improvement to an existing product or process.</w:t>
      </w:r>
    </w:p>
    <w:p w14:paraId="6AAD51B8" w14:textId="77777777" w:rsidR="00D3782C" w:rsidRPr="00FB717D" w:rsidRDefault="00D3782C" w:rsidP="00D3782C">
      <w:r w:rsidRPr="00FB717D">
        <w:t>Development</w:t>
      </w:r>
      <w:r w:rsidRPr="00FB717D">
        <w:rPr>
          <w:spacing w:val="-4"/>
        </w:rPr>
        <w:t xml:space="preserve"> </w:t>
      </w:r>
      <w:r w:rsidRPr="00FB717D">
        <w:t>is</w:t>
      </w:r>
      <w:r w:rsidRPr="00FB717D">
        <w:rPr>
          <w:spacing w:val="-4"/>
        </w:rPr>
        <w:t xml:space="preserve"> </w:t>
      </w:r>
      <w:r w:rsidRPr="00FB717D">
        <w:t>the</w:t>
      </w:r>
      <w:r w:rsidRPr="00FB717D">
        <w:rPr>
          <w:spacing w:val="-4"/>
        </w:rPr>
        <w:t xml:space="preserve"> </w:t>
      </w:r>
      <w:r w:rsidRPr="00FB717D">
        <w:t>translation</w:t>
      </w:r>
      <w:r w:rsidRPr="00FB717D">
        <w:rPr>
          <w:spacing w:val="-3"/>
        </w:rPr>
        <w:t xml:space="preserve"> </w:t>
      </w:r>
      <w:r w:rsidRPr="00FB717D">
        <w:t>of</w:t>
      </w:r>
      <w:r w:rsidRPr="00FB717D">
        <w:rPr>
          <w:spacing w:val="-4"/>
        </w:rPr>
        <w:t xml:space="preserve"> </w:t>
      </w:r>
      <w:r w:rsidRPr="00FB717D">
        <w:t>research</w:t>
      </w:r>
      <w:r w:rsidRPr="00FB717D">
        <w:rPr>
          <w:spacing w:val="-3"/>
        </w:rPr>
        <w:t xml:space="preserve"> </w:t>
      </w:r>
      <w:r w:rsidRPr="00FB717D">
        <w:t>findings</w:t>
      </w:r>
      <w:r w:rsidRPr="00FB717D">
        <w:rPr>
          <w:spacing w:val="-4"/>
        </w:rPr>
        <w:t xml:space="preserve"> </w:t>
      </w:r>
      <w:r w:rsidRPr="00FB717D">
        <w:t>or</w:t>
      </w:r>
      <w:r w:rsidRPr="00FB717D">
        <w:rPr>
          <w:spacing w:val="-4"/>
        </w:rPr>
        <w:t xml:space="preserve"> </w:t>
      </w:r>
      <w:r w:rsidRPr="00FB717D">
        <w:t>other</w:t>
      </w:r>
      <w:r w:rsidRPr="00FB717D">
        <w:rPr>
          <w:spacing w:val="-4"/>
        </w:rPr>
        <w:t xml:space="preserve"> </w:t>
      </w:r>
      <w:r w:rsidRPr="00FB717D">
        <w:t>knowledge</w:t>
      </w:r>
      <w:r w:rsidRPr="00FB717D">
        <w:rPr>
          <w:spacing w:val="-4"/>
        </w:rPr>
        <w:t xml:space="preserve"> </w:t>
      </w:r>
      <w:r w:rsidRPr="00FB717D">
        <w:t>into</w:t>
      </w:r>
      <w:r w:rsidRPr="00FB717D">
        <w:rPr>
          <w:spacing w:val="-4"/>
        </w:rPr>
        <w:t xml:space="preserve"> </w:t>
      </w:r>
      <w:r w:rsidRPr="00FB717D">
        <w:t>a</w:t>
      </w:r>
      <w:r w:rsidRPr="00FB717D">
        <w:rPr>
          <w:spacing w:val="-3"/>
        </w:rPr>
        <w:t xml:space="preserve"> </w:t>
      </w:r>
      <w:r w:rsidRPr="00FB717D">
        <w:t>plan</w:t>
      </w:r>
      <w:r w:rsidRPr="00FB717D">
        <w:rPr>
          <w:spacing w:val="-3"/>
        </w:rPr>
        <w:t xml:space="preserve"> </w:t>
      </w:r>
      <w:r w:rsidRPr="00FB717D">
        <w:t>or</w:t>
      </w:r>
      <w:r w:rsidRPr="00FB717D">
        <w:rPr>
          <w:spacing w:val="-4"/>
        </w:rPr>
        <w:t xml:space="preserve"> </w:t>
      </w:r>
      <w:r w:rsidRPr="00FB717D">
        <w:t>design</w:t>
      </w:r>
      <w:r w:rsidRPr="00FB717D">
        <w:rPr>
          <w:spacing w:val="-3"/>
        </w:rPr>
        <w:t xml:space="preserve"> </w:t>
      </w:r>
      <w:r w:rsidRPr="00FB717D">
        <w:t>for</w:t>
      </w:r>
      <w:r w:rsidRPr="00FB717D">
        <w:rPr>
          <w:spacing w:val="-4"/>
        </w:rPr>
        <w:t xml:space="preserve"> </w:t>
      </w:r>
      <w:r w:rsidRPr="00FB717D">
        <w:t>a</w:t>
      </w:r>
      <w:r w:rsidRPr="00FB717D">
        <w:rPr>
          <w:spacing w:val="-4"/>
        </w:rPr>
        <w:t xml:space="preserve"> </w:t>
      </w:r>
      <w:r w:rsidRPr="00FB717D">
        <w:t>new</w:t>
      </w:r>
      <w:r w:rsidRPr="00FB717D">
        <w:rPr>
          <w:spacing w:val="-4"/>
        </w:rPr>
        <w:t xml:space="preserve"> </w:t>
      </w:r>
      <w:r w:rsidRPr="00FB717D">
        <w:t>product or process or for a significant improvement to an existing product or process whether intended for sale or use. It includes the conceptual formulation, design, and testing of product alternatives, construction of prototypes, and operation of pilot</w:t>
      </w:r>
      <w:r w:rsidRPr="00FB717D">
        <w:rPr>
          <w:spacing w:val="-13"/>
        </w:rPr>
        <w:t xml:space="preserve"> </w:t>
      </w:r>
      <w:r w:rsidRPr="00FB717D">
        <w:t>plants.</w:t>
      </w:r>
    </w:p>
    <w:p w14:paraId="1624EE84" w14:textId="77777777" w:rsidR="00D3782C" w:rsidRPr="00FB717D" w:rsidRDefault="00D3782C" w:rsidP="0067441F">
      <w:pPr>
        <w:pStyle w:val="LevelI"/>
      </w:pPr>
      <w:r w:rsidRPr="005B3E7F">
        <w:t>Substantially completed assets (soft or partial close</w:t>
      </w:r>
      <w:r w:rsidRPr="00FB717D">
        <w:t>) – See</w:t>
      </w:r>
      <w:hyperlink w:anchor="PPE_Policy" w:history="1">
        <w:r w:rsidRPr="00FB717D">
          <w:rPr>
            <w:rStyle w:val="Hyperlink"/>
            <w:rFonts w:cstheme="minorHAnsi"/>
          </w:rPr>
          <w:t xml:space="preserve"> Main Policy</w:t>
        </w:r>
      </w:hyperlink>
    </w:p>
    <w:p w14:paraId="21DEFC4C" w14:textId="77777777" w:rsidR="00D3782C" w:rsidRPr="00FB717D" w:rsidRDefault="00D3782C" w:rsidP="00D3782C">
      <w:r w:rsidRPr="00FB717D">
        <w:t>Substantially completed projects are those where the facilities are in use and major construction has been completed. When construction projects are substantially completed, the assets are transferred from CIP to PIS. At this point, depreciation begins, and for debt-financed projects, debt repayment begins and capitalization of interest ends.</w:t>
      </w:r>
    </w:p>
    <w:p w14:paraId="0281A7E2" w14:textId="77777777" w:rsidR="00D3782C" w:rsidRPr="00FB717D" w:rsidRDefault="00D3782C" w:rsidP="00D3782C">
      <w:r w:rsidRPr="00FB717D">
        <w:t>Once the project is placed in service and fully closed, any remaining costs are expensed as incurred, the CIP activity is closed, and no additional spending may be charged to the project.</w:t>
      </w:r>
    </w:p>
    <w:p w14:paraId="43124C63" w14:textId="77777777" w:rsidR="00D3782C" w:rsidRPr="00B7356B" w:rsidRDefault="00D3782C" w:rsidP="0067441F">
      <w:pPr>
        <w:pStyle w:val="LevelI"/>
      </w:pPr>
      <w:r w:rsidRPr="00B7356B">
        <w:t>Environmental Remediation Costs</w:t>
      </w:r>
    </w:p>
    <w:p w14:paraId="30095027" w14:textId="77777777" w:rsidR="00D3782C" w:rsidRPr="00FB717D" w:rsidRDefault="00D3782C" w:rsidP="00D3782C">
      <w:r w:rsidRPr="00FB717D">
        <w:t xml:space="preserve">Capital projects can give rise to environmental remediation expenses. Depending on the nature of the costs, the type of project (renovation vs. acquisition) and other factors, these costs may be capitalizable. It is </w:t>
      </w:r>
      <w:r w:rsidRPr="00F421A7">
        <w:t xml:space="preserve">important to engage the </w:t>
      </w:r>
      <w:hyperlink r:id="rId20" w:history="1">
        <w:r w:rsidRPr="00F421A7">
          <w:rPr>
            <w:rStyle w:val="Hyperlink"/>
            <w:rFonts w:cstheme="minorHAnsi"/>
          </w:rPr>
          <w:t xml:space="preserve">Environmental Health Safety and Emergency Management </w:t>
        </w:r>
      </w:hyperlink>
      <w:r w:rsidRPr="00F421A7">
        <w:t xml:space="preserve">department, along with Campus Services and FAR prior to commencing any project with environmental remediation costs. </w:t>
      </w:r>
    </w:p>
    <w:p w14:paraId="7054BF02" w14:textId="77777777" w:rsidR="00D3782C" w:rsidRPr="00B7356B" w:rsidRDefault="00D3782C" w:rsidP="0067441F">
      <w:pPr>
        <w:pStyle w:val="LevelI"/>
      </w:pPr>
      <w:r w:rsidRPr="00B7356B">
        <w:t>Capitalization of Interest</w:t>
      </w:r>
    </w:p>
    <w:p w14:paraId="7E309D91" w14:textId="77777777" w:rsidR="00D3782C" w:rsidRPr="00FB717D" w:rsidRDefault="00D3782C" w:rsidP="00D3782C">
      <w:r w:rsidRPr="00FB717D">
        <w:t>Interest incurred on funds borrowed to finance construction projects is capitalized to those projects. Interest is charged over the life of the project and continues until the project is complete and the assets are placed in service. Once placed in service, the capitalized interest is allocated to the various types of assets and depreciated over the assets’ expected useful lives. Any interest incurred after the assets are placed in service is expensed.</w:t>
      </w:r>
    </w:p>
    <w:p w14:paraId="2A19CEF8" w14:textId="77777777" w:rsidR="00D3782C" w:rsidRPr="00FB717D" w:rsidRDefault="00D3782C" w:rsidP="00D3782C">
      <w:r w:rsidRPr="00FB717D">
        <w:t>In the case of under-funded capital projects (those in which the spending has exceeded the funding), interest is again charged to the project and capitalized to the underlying constructed assets.</w:t>
      </w:r>
    </w:p>
    <w:p w14:paraId="3B25CD58" w14:textId="77777777" w:rsidR="00D3782C" w:rsidRDefault="00D3782C" w:rsidP="00D3782C">
      <w:r w:rsidRPr="00FB717D">
        <w:t xml:space="preserve">Conversely, in the case of funded CIP, where current funding exceeds CIP costs to date, interest is earned and credited to the project’s activity through object code 4530, “Interest Income, GOA, and </w:t>
      </w:r>
      <w:r>
        <w:t>school or unit</w:t>
      </w:r>
      <w:r w:rsidRPr="00FB717D">
        <w:t xml:space="preserve"> Net Asset, GENERAL.” When the project is complete and ready to be placed in service, any earned interest is treated first as a funding source of the project and credited to CIP equity. Any over-funded amounts are returned to the original funding source (e.g., a gift fund, unrestricted designated fund, etc.).</w:t>
      </w:r>
    </w:p>
    <w:p w14:paraId="34438D39" w14:textId="77777777" w:rsidR="00D3782C" w:rsidRDefault="00D3782C" w:rsidP="00D3782C">
      <w:pPr>
        <w:spacing w:after="0" w:line="240" w:lineRule="auto"/>
        <w:rPr>
          <w:rFonts w:cstheme="minorHAnsi"/>
          <w:b/>
          <w:sz w:val="24"/>
          <w:szCs w:val="24"/>
        </w:rPr>
      </w:pPr>
      <w:bookmarkStart w:id="1" w:name="Appendix_B_Cap_Charts"/>
      <w:r>
        <w:rPr>
          <w:rFonts w:cstheme="minorHAnsi"/>
          <w:b/>
          <w:sz w:val="24"/>
          <w:szCs w:val="24"/>
        </w:rPr>
        <w:br w:type="page"/>
      </w:r>
    </w:p>
    <w:p w14:paraId="1E8D9EE6" w14:textId="77777777" w:rsidR="00D3782C" w:rsidRPr="00FB717D" w:rsidRDefault="00D3782C" w:rsidP="00D3782C">
      <w:pPr>
        <w:rPr>
          <w:rFonts w:cstheme="minorHAnsi"/>
          <w:b/>
          <w:sz w:val="24"/>
          <w:szCs w:val="24"/>
        </w:rPr>
      </w:pPr>
      <w:bookmarkStart w:id="2" w:name="Chart_Reference"/>
      <w:r w:rsidRPr="00F22D21">
        <w:rPr>
          <w:rFonts w:cstheme="minorHAnsi"/>
          <w:b/>
          <w:sz w:val="24"/>
          <w:szCs w:val="24"/>
        </w:rPr>
        <w:lastRenderedPageBreak/>
        <w:t>R</w:t>
      </w:r>
      <w:bookmarkStart w:id="3" w:name="CapitalizatonLandPurchase"/>
      <w:bookmarkEnd w:id="3"/>
      <w:r w:rsidRPr="00F22D21">
        <w:rPr>
          <w:rFonts w:cstheme="minorHAnsi"/>
          <w:b/>
          <w:sz w:val="24"/>
          <w:szCs w:val="24"/>
        </w:rPr>
        <w:t>eference</w:t>
      </w:r>
      <w:bookmarkEnd w:id="1"/>
      <w:r w:rsidRPr="00F22D21">
        <w:rPr>
          <w:rFonts w:cstheme="minorHAnsi"/>
          <w:b/>
          <w:sz w:val="24"/>
          <w:szCs w:val="24"/>
        </w:rPr>
        <w:t xml:space="preserve"> on when to capitalize versus expense items when acquired by purchase</w:t>
      </w:r>
    </w:p>
    <w:tbl>
      <w:tblPr>
        <w:tblW w:w="96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39"/>
        <w:gridCol w:w="1170"/>
        <w:gridCol w:w="1633"/>
        <w:gridCol w:w="1710"/>
        <w:gridCol w:w="1157"/>
      </w:tblGrid>
      <w:tr w:rsidR="00D3782C" w14:paraId="68BD0DD3" w14:textId="77777777" w:rsidTr="00FD12A1">
        <w:trPr>
          <w:trHeight w:val="224"/>
          <w:jc w:val="center"/>
        </w:trPr>
        <w:tc>
          <w:tcPr>
            <w:tcW w:w="9609" w:type="dxa"/>
            <w:gridSpan w:val="5"/>
          </w:tcPr>
          <w:bookmarkEnd w:id="2"/>
          <w:p w14:paraId="3A159334" w14:textId="77777777" w:rsidR="00D3782C" w:rsidRPr="0032144C" w:rsidRDefault="00D3782C" w:rsidP="00FD12A1">
            <w:pPr>
              <w:pStyle w:val="TableParagraph"/>
              <w:rPr>
                <w:rFonts w:asciiTheme="minorHAnsi" w:hAnsiTheme="minorHAnsi" w:cstheme="minorHAnsi"/>
                <w:b/>
              </w:rPr>
            </w:pPr>
            <w:r w:rsidRPr="0032144C">
              <w:rPr>
                <w:rFonts w:asciiTheme="minorHAnsi" w:hAnsiTheme="minorHAnsi" w:cstheme="minorHAnsi"/>
                <w:b/>
              </w:rPr>
              <w:t>Capitalization Versus Expense Guidelines – Item Acquired By Purchase</w:t>
            </w:r>
          </w:p>
        </w:tc>
      </w:tr>
      <w:tr w:rsidR="00D3782C" w14:paraId="08467683" w14:textId="77777777" w:rsidTr="004A1838">
        <w:trPr>
          <w:trHeight w:val="170"/>
          <w:jc w:val="center"/>
        </w:trPr>
        <w:tc>
          <w:tcPr>
            <w:tcW w:w="3939" w:type="dxa"/>
          </w:tcPr>
          <w:p w14:paraId="37C852FC" w14:textId="77777777" w:rsidR="00D3782C" w:rsidRPr="00311323" w:rsidRDefault="00D3782C" w:rsidP="00FD12A1">
            <w:pPr>
              <w:pStyle w:val="TableParagraph"/>
              <w:spacing w:line="192" w:lineRule="exact"/>
              <w:jc w:val="center"/>
              <w:rPr>
                <w:rFonts w:asciiTheme="minorHAnsi" w:hAnsiTheme="minorHAnsi" w:cstheme="minorHAnsi"/>
                <w:b/>
                <w:sz w:val="20"/>
                <w:szCs w:val="20"/>
              </w:rPr>
            </w:pPr>
          </w:p>
        </w:tc>
        <w:tc>
          <w:tcPr>
            <w:tcW w:w="1170" w:type="dxa"/>
            <w:tcBorders>
              <w:right w:val="nil"/>
            </w:tcBorders>
          </w:tcPr>
          <w:p w14:paraId="1B2466A4" w14:textId="77777777" w:rsidR="00D3782C" w:rsidRPr="00311323" w:rsidRDefault="00D3782C" w:rsidP="00FD12A1">
            <w:pPr>
              <w:pStyle w:val="TableParagraph"/>
              <w:ind w:left="100" w:right="100"/>
              <w:jc w:val="center"/>
              <w:rPr>
                <w:rFonts w:asciiTheme="minorHAnsi" w:hAnsiTheme="minorHAnsi" w:cstheme="minorHAnsi"/>
                <w:b/>
                <w:sz w:val="20"/>
                <w:szCs w:val="20"/>
              </w:rPr>
            </w:pPr>
          </w:p>
        </w:tc>
        <w:tc>
          <w:tcPr>
            <w:tcW w:w="3343" w:type="dxa"/>
            <w:gridSpan w:val="2"/>
            <w:tcBorders>
              <w:left w:val="nil"/>
              <w:right w:val="double" w:sz="2" w:space="0" w:color="000000"/>
            </w:tcBorders>
          </w:tcPr>
          <w:p w14:paraId="5E8253EE" w14:textId="77777777" w:rsidR="00D3782C" w:rsidRDefault="00D3782C" w:rsidP="00FD12A1">
            <w:pPr>
              <w:pStyle w:val="TableParagraph"/>
              <w:jc w:val="center"/>
              <w:rPr>
                <w:rFonts w:asciiTheme="minorHAnsi" w:hAnsiTheme="minorHAnsi" w:cstheme="minorHAnsi"/>
                <w:b/>
                <w:sz w:val="20"/>
                <w:szCs w:val="20"/>
              </w:rPr>
            </w:pPr>
            <w:r>
              <w:rPr>
                <w:rFonts w:asciiTheme="minorHAnsi" w:hAnsiTheme="minorHAnsi" w:cstheme="minorHAnsi"/>
                <w:b/>
                <w:sz w:val="20"/>
                <w:szCs w:val="20"/>
              </w:rPr>
              <w:t xml:space="preserve">REQUIRED TO </w:t>
            </w:r>
            <w:r w:rsidRPr="00311323">
              <w:rPr>
                <w:rFonts w:asciiTheme="minorHAnsi" w:hAnsiTheme="minorHAnsi" w:cstheme="minorHAnsi"/>
                <w:b/>
                <w:sz w:val="20"/>
                <w:szCs w:val="20"/>
              </w:rPr>
              <w:t>CAPITALIZE</w:t>
            </w:r>
          </w:p>
        </w:tc>
        <w:tc>
          <w:tcPr>
            <w:tcW w:w="1157" w:type="dxa"/>
            <w:tcBorders>
              <w:left w:val="double" w:sz="2" w:space="0" w:color="000000"/>
            </w:tcBorders>
          </w:tcPr>
          <w:p w14:paraId="48DAADB3" w14:textId="77777777" w:rsidR="00D3782C" w:rsidRPr="00311323" w:rsidRDefault="00D3782C" w:rsidP="00FD12A1">
            <w:pPr>
              <w:pStyle w:val="TableParagraph"/>
              <w:ind w:left="161" w:right="118" w:hanging="58"/>
              <w:jc w:val="center"/>
              <w:rPr>
                <w:rFonts w:asciiTheme="minorHAnsi" w:hAnsiTheme="minorHAnsi" w:cstheme="minorHAnsi"/>
                <w:b/>
                <w:sz w:val="20"/>
                <w:szCs w:val="20"/>
              </w:rPr>
            </w:pPr>
          </w:p>
        </w:tc>
      </w:tr>
      <w:tr w:rsidR="00D3782C" w14:paraId="02F47E28" w14:textId="77777777" w:rsidTr="004A1838">
        <w:trPr>
          <w:trHeight w:val="1200"/>
          <w:jc w:val="center"/>
        </w:trPr>
        <w:tc>
          <w:tcPr>
            <w:tcW w:w="3939" w:type="dxa"/>
          </w:tcPr>
          <w:p w14:paraId="123D21D6" w14:textId="77777777" w:rsidR="00D3782C" w:rsidRPr="00311323" w:rsidRDefault="00D3782C" w:rsidP="00FD12A1">
            <w:pPr>
              <w:pStyle w:val="TableParagraph"/>
              <w:spacing w:line="192" w:lineRule="exact"/>
              <w:jc w:val="center"/>
              <w:rPr>
                <w:rFonts w:asciiTheme="minorHAnsi" w:hAnsiTheme="minorHAnsi" w:cstheme="minorHAnsi"/>
                <w:b/>
                <w:sz w:val="20"/>
                <w:szCs w:val="20"/>
              </w:rPr>
            </w:pPr>
            <w:r w:rsidRPr="00311323">
              <w:rPr>
                <w:rFonts w:asciiTheme="minorHAnsi" w:hAnsiTheme="minorHAnsi" w:cstheme="minorHAnsi"/>
                <w:b/>
                <w:sz w:val="20"/>
                <w:szCs w:val="20"/>
              </w:rPr>
              <w:t>AT PURCHASE</w:t>
            </w:r>
          </w:p>
        </w:tc>
        <w:tc>
          <w:tcPr>
            <w:tcW w:w="1170" w:type="dxa"/>
            <w:tcBorders>
              <w:right w:val="nil"/>
            </w:tcBorders>
          </w:tcPr>
          <w:p w14:paraId="4E47C298" w14:textId="77777777" w:rsidR="00D3782C" w:rsidRPr="00311323" w:rsidRDefault="00D3782C" w:rsidP="00FD12A1">
            <w:pPr>
              <w:pStyle w:val="TableParagraph"/>
              <w:ind w:left="100" w:right="100"/>
              <w:jc w:val="center"/>
              <w:rPr>
                <w:rFonts w:asciiTheme="minorHAnsi" w:hAnsiTheme="minorHAnsi" w:cstheme="minorHAnsi"/>
                <w:b/>
                <w:sz w:val="20"/>
                <w:szCs w:val="20"/>
              </w:rPr>
            </w:pPr>
            <w:r w:rsidRPr="00311323">
              <w:rPr>
                <w:rFonts w:asciiTheme="minorHAnsi" w:hAnsiTheme="minorHAnsi" w:cstheme="minorHAnsi"/>
                <w:b/>
                <w:sz w:val="20"/>
                <w:szCs w:val="20"/>
              </w:rPr>
              <w:t>Land</w:t>
            </w:r>
          </w:p>
          <w:p w14:paraId="32010F5F" w14:textId="77777777" w:rsidR="00D3782C" w:rsidRPr="00311323" w:rsidRDefault="00D3782C" w:rsidP="00FD12A1">
            <w:pPr>
              <w:pStyle w:val="TableParagraph"/>
              <w:ind w:left="102" w:right="100"/>
              <w:jc w:val="center"/>
              <w:rPr>
                <w:rFonts w:asciiTheme="minorHAnsi" w:hAnsiTheme="minorHAnsi" w:cstheme="minorHAnsi"/>
                <w:b/>
                <w:sz w:val="20"/>
                <w:szCs w:val="20"/>
              </w:rPr>
            </w:pPr>
            <w:r w:rsidRPr="00311323">
              <w:rPr>
                <w:rFonts w:asciiTheme="minorHAnsi" w:hAnsiTheme="minorHAnsi" w:cstheme="minorHAnsi"/>
                <w:b/>
                <w:sz w:val="20"/>
                <w:szCs w:val="20"/>
              </w:rPr>
              <w:t>(all amounts)</w:t>
            </w:r>
          </w:p>
        </w:tc>
        <w:tc>
          <w:tcPr>
            <w:tcW w:w="1633" w:type="dxa"/>
            <w:tcBorders>
              <w:left w:val="nil"/>
              <w:right w:val="nil"/>
            </w:tcBorders>
          </w:tcPr>
          <w:p w14:paraId="6DB7744B" w14:textId="77777777" w:rsidR="00D3782C" w:rsidRDefault="00D3782C" w:rsidP="00FD12A1">
            <w:pPr>
              <w:pStyle w:val="TableParagraph"/>
              <w:ind w:right="177" w:hanging="5"/>
              <w:jc w:val="center"/>
              <w:rPr>
                <w:rFonts w:asciiTheme="minorHAnsi" w:hAnsiTheme="minorHAnsi" w:cstheme="minorHAnsi"/>
                <w:b/>
                <w:w w:val="95"/>
                <w:sz w:val="20"/>
                <w:szCs w:val="20"/>
              </w:rPr>
            </w:pPr>
            <w:r w:rsidRPr="00311323">
              <w:rPr>
                <w:rFonts w:asciiTheme="minorHAnsi" w:hAnsiTheme="minorHAnsi" w:cstheme="minorHAnsi"/>
                <w:b/>
                <w:sz w:val="20"/>
                <w:szCs w:val="20"/>
              </w:rPr>
              <w:t xml:space="preserve">Building (and </w:t>
            </w:r>
            <w:r w:rsidRPr="00311323">
              <w:rPr>
                <w:rFonts w:asciiTheme="minorHAnsi" w:hAnsiTheme="minorHAnsi" w:cstheme="minorHAnsi"/>
                <w:b/>
                <w:w w:val="95"/>
                <w:sz w:val="20"/>
                <w:szCs w:val="20"/>
              </w:rPr>
              <w:t xml:space="preserve">improvements) </w:t>
            </w:r>
          </w:p>
          <w:p w14:paraId="31F557B5" w14:textId="77777777" w:rsidR="00D3782C" w:rsidRPr="00311323" w:rsidRDefault="00D3782C" w:rsidP="00FD12A1">
            <w:pPr>
              <w:pStyle w:val="TableParagraph"/>
              <w:ind w:right="177" w:hanging="5"/>
              <w:jc w:val="center"/>
              <w:rPr>
                <w:rFonts w:asciiTheme="minorHAnsi" w:hAnsiTheme="minorHAnsi" w:cstheme="minorHAnsi"/>
                <w:b/>
                <w:sz w:val="20"/>
                <w:szCs w:val="20"/>
              </w:rPr>
            </w:pPr>
            <w:r w:rsidRPr="00311323">
              <w:rPr>
                <w:rFonts w:asciiTheme="minorHAnsi" w:hAnsiTheme="minorHAnsi" w:cstheme="minorHAnsi"/>
                <w:b/>
                <w:sz w:val="20"/>
                <w:szCs w:val="20"/>
              </w:rPr>
              <w:t>(if total project</w:t>
            </w:r>
          </w:p>
          <w:p w14:paraId="2C329B57" w14:textId="77777777" w:rsidR="00D3782C" w:rsidRPr="00311323" w:rsidRDefault="00D3782C" w:rsidP="00FD12A1">
            <w:pPr>
              <w:pStyle w:val="TableParagraph"/>
              <w:ind w:left="51" w:right="46"/>
              <w:jc w:val="center"/>
              <w:rPr>
                <w:rFonts w:asciiTheme="minorHAnsi" w:hAnsiTheme="minorHAnsi" w:cstheme="minorHAnsi"/>
                <w:b/>
                <w:sz w:val="20"/>
                <w:szCs w:val="20"/>
              </w:rPr>
            </w:pPr>
            <w:r w:rsidRPr="00311323">
              <w:rPr>
                <w:rFonts w:asciiTheme="minorHAnsi" w:hAnsiTheme="minorHAnsi" w:cstheme="minorHAnsi"/>
                <w:b/>
                <w:sz w:val="20"/>
                <w:szCs w:val="20"/>
              </w:rPr>
              <w:t>costs &gt;= $</w:t>
            </w:r>
            <w:proofErr w:type="gramStart"/>
            <w:r>
              <w:rPr>
                <w:rFonts w:asciiTheme="minorHAnsi" w:hAnsiTheme="minorHAnsi" w:cstheme="minorHAnsi"/>
                <w:b/>
                <w:sz w:val="20"/>
                <w:szCs w:val="20"/>
              </w:rPr>
              <w:t>3</w:t>
            </w:r>
            <w:r w:rsidRPr="00311323">
              <w:rPr>
                <w:rFonts w:asciiTheme="minorHAnsi" w:hAnsiTheme="minorHAnsi" w:cstheme="minorHAnsi"/>
                <w:b/>
                <w:sz w:val="20"/>
                <w:szCs w:val="20"/>
              </w:rPr>
              <w:t>00,000)</w:t>
            </w:r>
            <w:r>
              <w:rPr>
                <w:rFonts w:asciiTheme="minorHAnsi" w:hAnsiTheme="minorHAnsi" w:cstheme="minorHAnsi"/>
                <w:b/>
                <w:sz w:val="20"/>
                <w:szCs w:val="20"/>
              </w:rPr>
              <w:t>*</w:t>
            </w:r>
            <w:proofErr w:type="gramEnd"/>
          </w:p>
        </w:tc>
        <w:tc>
          <w:tcPr>
            <w:tcW w:w="1710" w:type="dxa"/>
            <w:tcBorders>
              <w:left w:val="nil"/>
              <w:right w:val="double" w:sz="2" w:space="0" w:color="000000"/>
            </w:tcBorders>
          </w:tcPr>
          <w:p w14:paraId="2C7E1141" w14:textId="77777777" w:rsidR="00D3782C" w:rsidRDefault="00D3782C" w:rsidP="00FD12A1">
            <w:pPr>
              <w:pStyle w:val="TableParagraph"/>
              <w:ind w:right="294"/>
              <w:jc w:val="center"/>
              <w:rPr>
                <w:rFonts w:asciiTheme="minorHAnsi" w:hAnsiTheme="minorHAnsi" w:cstheme="minorHAnsi"/>
                <w:b/>
                <w:sz w:val="20"/>
                <w:szCs w:val="20"/>
              </w:rPr>
            </w:pPr>
            <w:r w:rsidRPr="00311323">
              <w:rPr>
                <w:rFonts w:asciiTheme="minorHAnsi" w:hAnsiTheme="minorHAnsi" w:cstheme="minorHAnsi"/>
                <w:b/>
                <w:sz w:val="20"/>
                <w:szCs w:val="20"/>
              </w:rPr>
              <w:t>Moveable Furnishings +</w:t>
            </w:r>
            <w:r>
              <w:rPr>
                <w:rFonts w:asciiTheme="minorHAnsi" w:hAnsiTheme="minorHAnsi" w:cstheme="minorHAnsi"/>
                <w:b/>
                <w:sz w:val="20"/>
                <w:szCs w:val="20"/>
              </w:rPr>
              <w:t xml:space="preserve"> Equipment</w:t>
            </w:r>
          </w:p>
          <w:p w14:paraId="7B68AA60" w14:textId="0FA0D28A" w:rsidR="00D3782C" w:rsidRPr="00311323" w:rsidRDefault="00D3782C" w:rsidP="00FD12A1">
            <w:pPr>
              <w:pStyle w:val="TableParagraph"/>
              <w:ind w:right="294"/>
              <w:jc w:val="center"/>
              <w:rPr>
                <w:rFonts w:asciiTheme="minorHAnsi" w:hAnsiTheme="minorHAnsi" w:cstheme="minorHAnsi"/>
                <w:b/>
                <w:sz w:val="20"/>
                <w:szCs w:val="20"/>
              </w:rPr>
            </w:pPr>
            <w:r w:rsidRPr="00311323">
              <w:rPr>
                <w:rFonts w:asciiTheme="minorHAnsi" w:hAnsiTheme="minorHAnsi" w:cstheme="minorHAnsi"/>
                <w:b/>
                <w:sz w:val="20"/>
                <w:szCs w:val="20"/>
              </w:rPr>
              <w:t xml:space="preserve">(if </w:t>
            </w:r>
            <w:r w:rsidR="00173593">
              <w:rPr>
                <w:rFonts w:asciiTheme="minorHAnsi" w:hAnsiTheme="minorHAnsi" w:cstheme="minorHAnsi"/>
                <w:b/>
                <w:sz w:val="20"/>
                <w:szCs w:val="20"/>
              </w:rPr>
              <w:t xml:space="preserve">capitalization threshold </w:t>
            </w:r>
            <w:proofErr w:type="gramStart"/>
            <w:r w:rsidR="00173593">
              <w:rPr>
                <w:rFonts w:asciiTheme="minorHAnsi" w:hAnsiTheme="minorHAnsi" w:cstheme="minorHAnsi"/>
                <w:b/>
                <w:sz w:val="20"/>
                <w:szCs w:val="20"/>
              </w:rPr>
              <w:t xml:space="preserve">met </w:t>
            </w:r>
            <w:r w:rsidRPr="00311323">
              <w:rPr>
                <w:rFonts w:asciiTheme="minorHAnsi" w:hAnsiTheme="minorHAnsi" w:cstheme="minorHAnsi"/>
                <w:b/>
                <w:sz w:val="20"/>
                <w:szCs w:val="20"/>
              </w:rPr>
              <w:t>)</w:t>
            </w:r>
            <w:proofErr w:type="gramEnd"/>
            <w:r w:rsidR="00173593">
              <w:rPr>
                <w:rFonts w:asciiTheme="minorHAnsi" w:hAnsiTheme="minorHAnsi" w:cstheme="minorHAnsi"/>
                <w:b/>
                <w:sz w:val="20"/>
                <w:szCs w:val="20"/>
              </w:rPr>
              <w:t>**</w:t>
            </w:r>
          </w:p>
        </w:tc>
        <w:tc>
          <w:tcPr>
            <w:tcW w:w="1157" w:type="dxa"/>
            <w:tcBorders>
              <w:left w:val="double" w:sz="2" w:space="0" w:color="000000"/>
            </w:tcBorders>
          </w:tcPr>
          <w:p w14:paraId="795D14D1" w14:textId="77777777" w:rsidR="00D3782C" w:rsidRPr="00311323" w:rsidRDefault="00D3782C" w:rsidP="00FD12A1">
            <w:pPr>
              <w:pStyle w:val="TableParagraph"/>
              <w:ind w:left="161" w:right="118" w:hanging="58"/>
              <w:jc w:val="center"/>
              <w:rPr>
                <w:rFonts w:asciiTheme="minorHAnsi" w:hAnsiTheme="minorHAnsi" w:cstheme="minorHAnsi"/>
                <w:b/>
                <w:sz w:val="20"/>
                <w:szCs w:val="20"/>
              </w:rPr>
            </w:pPr>
            <w:r w:rsidRPr="00311323">
              <w:rPr>
                <w:rFonts w:asciiTheme="minorHAnsi" w:hAnsiTheme="minorHAnsi" w:cstheme="minorHAnsi"/>
                <w:b/>
                <w:sz w:val="20"/>
                <w:szCs w:val="20"/>
              </w:rPr>
              <w:t>ALWAYS EXPENSE</w:t>
            </w:r>
          </w:p>
        </w:tc>
      </w:tr>
      <w:tr w:rsidR="00D3782C" w:rsidRPr="0032144C" w14:paraId="611C1166" w14:textId="77777777" w:rsidTr="004A1838">
        <w:trPr>
          <w:trHeight w:val="160"/>
          <w:jc w:val="center"/>
        </w:trPr>
        <w:tc>
          <w:tcPr>
            <w:tcW w:w="3939" w:type="dxa"/>
          </w:tcPr>
          <w:p w14:paraId="78986B1E"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Accounting fees</w:t>
            </w:r>
          </w:p>
        </w:tc>
        <w:tc>
          <w:tcPr>
            <w:tcW w:w="1170" w:type="dxa"/>
            <w:vAlign w:val="center"/>
          </w:tcPr>
          <w:p w14:paraId="0A524CA6"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12533255" w14:textId="77777777" w:rsidR="00D3782C" w:rsidRPr="00311323" w:rsidRDefault="00D3782C" w:rsidP="00FD12A1">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1CBE98EF"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56FDC930"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33E4917F" w14:textId="77777777" w:rsidTr="004A1838">
        <w:trPr>
          <w:trHeight w:val="180"/>
          <w:jc w:val="center"/>
        </w:trPr>
        <w:tc>
          <w:tcPr>
            <w:tcW w:w="3939" w:type="dxa"/>
          </w:tcPr>
          <w:p w14:paraId="0CD46387"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Application fees (e.g., permits, etc.)</w:t>
            </w:r>
          </w:p>
        </w:tc>
        <w:tc>
          <w:tcPr>
            <w:tcW w:w="1170" w:type="dxa"/>
            <w:vAlign w:val="center"/>
          </w:tcPr>
          <w:p w14:paraId="4AFAF3FB"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186EB808" w14:textId="77777777" w:rsidR="00D3782C" w:rsidRPr="00311323" w:rsidRDefault="00D3782C" w:rsidP="00FD12A1">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6A96C832"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358B1655"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2D16C793" w14:textId="77777777" w:rsidTr="004A1838">
        <w:trPr>
          <w:trHeight w:val="180"/>
          <w:jc w:val="center"/>
        </w:trPr>
        <w:tc>
          <w:tcPr>
            <w:tcW w:w="3939" w:type="dxa"/>
          </w:tcPr>
          <w:p w14:paraId="62AE8E13"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Appraisals</w:t>
            </w:r>
          </w:p>
        </w:tc>
        <w:tc>
          <w:tcPr>
            <w:tcW w:w="1170" w:type="dxa"/>
            <w:vAlign w:val="center"/>
          </w:tcPr>
          <w:p w14:paraId="5D8D600B"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13AA6A7A" w14:textId="77777777" w:rsidR="00D3782C" w:rsidRPr="00311323" w:rsidRDefault="00D3782C" w:rsidP="00FD12A1">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0BC3940E"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6913865F"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79D39BAC" w14:textId="77777777" w:rsidTr="004A1838">
        <w:trPr>
          <w:trHeight w:val="200"/>
          <w:jc w:val="center"/>
        </w:trPr>
        <w:tc>
          <w:tcPr>
            <w:tcW w:w="3939" w:type="dxa"/>
          </w:tcPr>
          <w:p w14:paraId="5DF31CCE"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Broker's fees or other purchase commissions</w:t>
            </w:r>
          </w:p>
        </w:tc>
        <w:tc>
          <w:tcPr>
            <w:tcW w:w="1170" w:type="dxa"/>
            <w:vAlign w:val="center"/>
          </w:tcPr>
          <w:p w14:paraId="52A4F2D6"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1D04DA14" w14:textId="77777777" w:rsidR="00D3782C" w:rsidRPr="00311323" w:rsidRDefault="00D3782C" w:rsidP="00FD12A1">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5E2EFF0A"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4BFB114D"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1488DD1E" w14:textId="77777777" w:rsidTr="004A1838">
        <w:trPr>
          <w:trHeight w:val="360"/>
          <w:jc w:val="center"/>
        </w:trPr>
        <w:tc>
          <w:tcPr>
            <w:tcW w:w="3939" w:type="dxa"/>
          </w:tcPr>
          <w:p w14:paraId="46081A7B"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 xml:space="preserve">Closing costs (other than real estate </w:t>
            </w:r>
            <w:proofErr w:type="gramStart"/>
            <w:r w:rsidRPr="00311323">
              <w:rPr>
                <w:rFonts w:asciiTheme="minorHAnsi" w:hAnsiTheme="minorHAnsi" w:cstheme="minorHAnsi"/>
                <w:sz w:val="20"/>
                <w:szCs w:val="20"/>
              </w:rPr>
              <w:t>taxes  or</w:t>
            </w:r>
            <w:proofErr w:type="gramEnd"/>
          </w:p>
          <w:p w14:paraId="3FECCA68"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interest)</w:t>
            </w:r>
          </w:p>
        </w:tc>
        <w:tc>
          <w:tcPr>
            <w:tcW w:w="1170" w:type="dxa"/>
            <w:vAlign w:val="center"/>
          </w:tcPr>
          <w:p w14:paraId="7A1DDCEE"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66B19EE7"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4729FB47"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3099BA32"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17E697C8" w14:textId="77777777" w:rsidTr="004A1838">
        <w:trPr>
          <w:trHeight w:val="180"/>
          <w:jc w:val="center"/>
        </w:trPr>
        <w:tc>
          <w:tcPr>
            <w:tcW w:w="3939" w:type="dxa"/>
          </w:tcPr>
          <w:p w14:paraId="61979047"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Engineering services</w:t>
            </w:r>
          </w:p>
        </w:tc>
        <w:tc>
          <w:tcPr>
            <w:tcW w:w="1170" w:type="dxa"/>
            <w:vAlign w:val="center"/>
          </w:tcPr>
          <w:p w14:paraId="0E86DF78"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6737B2BE" w14:textId="77777777" w:rsidR="00D3782C" w:rsidRPr="00311323" w:rsidRDefault="00D3782C" w:rsidP="00FD12A1">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5ED10D0C"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14EE6007"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7B97FB86" w14:textId="77777777" w:rsidTr="004A1838">
        <w:trPr>
          <w:trHeight w:val="180"/>
          <w:jc w:val="center"/>
        </w:trPr>
        <w:tc>
          <w:tcPr>
            <w:tcW w:w="3939" w:type="dxa"/>
          </w:tcPr>
          <w:p w14:paraId="04597FB8"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 xml:space="preserve">Feasibility studies that lead to </w:t>
            </w:r>
            <w:proofErr w:type="gramStart"/>
            <w:r w:rsidRPr="00311323">
              <w:rPr>
                <w:rFonts w:asciiTheme="minorHAnsi" w:hAnsiTheme="minorHAnsi" w:cstheme="minorHAnsi"/>
                <w:sz w:val="20"/>
                <w:szCs w:val="20"/>
              </w:rPr>
              <w:t>asset  purchase</w:t>
            </w:r>
            <w:proofErr w:type="gramEnd"/>
          </w:p>
        </w:tc>
        <w:tc>
          <w:tcPr>
            <w:tcW w:w="1170" w:type="dxa"/>
            <w:vAlign w:val="center"/>
          </w:tcPr>
          <w:p w14:paraId="788561D3"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3006CD65" w14:textId="77777777" w:rsidR="00D3782C" w:rsidRPr="00311323" w:rsidRDefault="00D3782C" w:rsidP="00FD12A1">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10026B58"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47DCC5AB"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75B23A52" w14:textId="77777777" w:rsidTr="004A1838">
        <w:trPr>
          <w:trHeight w:val="160"/>
          <w:jc w:val="center"/>
        </w:trPr>
        <w:tc>
          <w:tcPr>
            <w:tcW w:w="3939" w:type="dxa"/>
          </w:tcPr>
          <w:p w14:paraId="10992BAF"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Finder's fees</w:t>
            </w:r>
          </w:p>
        </w:tc>
        <w:tc>
          <w:tcPr>
            <w:tcW w:w="1170" w:type="dxa"/>
            <w:vAlign w:val="center"/>
          </w:tcPr>
          <w:p w14:paraId="5F2D908B"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720F18A2" w14:textId="77777777" w:rsidR="00D3782C" w:rsidRPr="00311323" w:rsidRDefault="00D3782C" w:rsidP="00FD12A1">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4830ED85"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1814EC19"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724E7A43" w14:textId="77777777" w:rsidTr="004A1838">
        <w:trPr>
          <w:trHeight w:val="360"/>
          <w:jc w:val="center"/>
        </w:trPr>
        <w:tc>
          <w:tcPr>
            <w:tcW w:w="3939" w:type="dxa"/>
          </w:tcPr>
          <w:p w14:paraId="51744151"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Fixed (NOT moveable) equipment and</w:t>
            </w:r>
          </w:p>
          <w:p w14:paraId="73FA9F0F"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furnishings</w:t>
            </w:r>
          </w:p>
        </w:tc>
        <w:tc>
          <w:tcPr>
            <w:tcW w:w="1170" w:type="dxa"/>
            <w:vAlign w:val="center"/>
          </w:tcPr>
          <w:p w14:paraId="70B4EC18"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633" w:type="dxa"/>
            <w:vAlign w:val="center"/>
          </w:tcPr>
          <w:p w14:paraId="67D2596A"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0BBD2BBA"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7343277A"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744CB860" w14:textId="77777777" w:rsidTr="004A1838">
        <w:trPr>
          <w:trHeight w:val="160"/>
          <w:jc w:val="center"/>
        </w:trPr>
        <w:tc>
          <w:tcPr>
            <w:tcW w:w="3939" w:type="dxa"/>
          </w:tcPr>
          <w:p w14:paraId="47B561C9"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Inspection costs</w:t>
            </w:r>
          </w:p>
        </w:tc>
        <w:tc>
          <w:tcPr>
            <w:tcW w:w="1170" w:type="dxa"/>
            <w:vAlign w:val="center"/>
          </w:tcPr>
          <w:p w14:paraId="14754931"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7285A93A" w14:textId="77777777" w:rsidR="00D3782C" w:rsidRPr="00311323" w:rsidRDefault="00D3782C" w:rsidP="00FD12A1">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0CB9FA67"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55C7FD49"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6714CCB4" w14:textId="77777777" w:rsidTr="004A1838">
        <w:trPr>
          <w:trHeight w:val="360"/>
          <w:jc w:val="center"/>
        </w:trPr>
        <w:tc>
          <w:tcPr>
            <w:tcW w:w="3939" w:type="dxa"/>
          </w:tcPr>
          <w:p w14:paraId="3E4A396E"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Installation fees (i.e., costs to install</w:t>
            </w:r>
          </w:p>
          <w:p w14:paraId="408A02DC"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equipment)</w:t>
            </w:r>
          </w:p>
        </w:tc>
        <w:tc>
          <w:tcPr>
            <w:tcW w:w="1170" w:type="dxa"/>
            <w:vAlign w:val="center"/>
          </w:tcPr>
          <w:p w14:paraId="099C79DB"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633" w:type="dxa"/>
            <w:vAlign w:val="center"/>
          </w:tcPr>
          <w:p w14:paraId="52FB886B"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710" w:type="dxa"/>
            <w:tcBorders>
              <w:right w:val="double" w:sz="2" w:space="0" w:color="000000"/>
            </w:tcBorders>
            <w:vAlign w:val="center"/>
          </w:tcPr>
          <w:p w14:paraId="16AD641D"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157" w:type="dxa"/>
            <w:tcBorders>
              <w:left w:val="double" w:sz="2" w:space="0" w:color="000000"/>
            </w:tcBorders>
            <w:vAlign w:val="center"/>
          </w:tcPr>
          <w:p w14:paraId="14E66DF3"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2E5A9E5A" w14:textId="77777777" w:rsidTr="004A1838">
        <w:trPr>
          <w:trHeight w:val="180"/>
          <w:jc w:val="center"/>
        </w:trPr>
        <w:tc>
          <w:tcPr>
            <w:tcW w:w="3939" w:type="dxa"/>
          </w:tcPr>
          <w:p w14:paraId="23FE15E5"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Interest expense</w:t>
            </w:r>
          </w:p>
        </w:tc>
        <w:tc>
          <w:tcPr>
            <w:tcW w:w="1170" w:type="dxa"/>
            <w:vAlign w:val="center"/>
          </w:tcPr>
          <w:p w14:paraId="659AB95F"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633" w:type="dxa"/>
            <w:vAlign w:val="center"/>
          </w:tcPr>
          <w:p w14:paraId="7BC660C7"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710" w:type="dxa"/>
            <w:tcBorders>
              <w:right w:val="double" w:sz="2" w:space="0" w:color="000000"/>
            </w:tcBorders>
            <w:vAlign w:val="center"/>
          </w:tcPr>
          <w:p w14:paraId="047BA862"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16F77545" w14:textId="77777777" w:rsidR="00D3782C" w:rsidRPr="00311323" w:rsidRDefault="00D3782C" w:rsidP="00FD12A1">
            <w:pPr>
              <w:pStyle w:val="TableParagraph"/>
              <w:tabs>
                <w:tab w:val="left" w:pos="0"/>
              </w:tabs>
              <w:ind w:left="47"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r>
      <w:tr w:rsidR="00D3782C" w:rsidRPr="0032144C" w14:paraId="349AFF97" w14:textId="77777777" w:rsidTr="004A1838">
        <w:trPr>
          <w:trHeight w:val="180"/>
          <w:jc w:val="center"/>
        </w:trPr>
        <w:tc>
          <w:tcPr>
            <w:tcW w:w="3939" w:type="dxa"/>
          </w:tcPr>
          <w:p w14:paraId="6579A4B5"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Legal and consulting fees</w:t>
            </w:r>
          </w:p>
        </w:tc>
        <w:tc>
          <w:tcPr>
            <w:tcW w:w="1170" w:type="dxa"/>
            <w:vAlign w:val="center"/>
          </w:tcPr>
          <w:p w14:paraId="06B08E92"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3E5A3036" w14:textId="77777777" w:rsidR="00D3782C" w:rsidRPr="00311323" w:rsidRDefault="00D3782C" w:rsidP="00FD12A1">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24F851CC"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6566D234"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69502B55" w14:textId="77777777" w:rsidTr="004A1838">
        <w:trPr>
          <w:trHeight w:val="580"/>
          <w:jc w:val="center"/>
        </w:trPr>
        <w:tc>
          <w:tcPr>
            <w:tcW w:w="3939" w:type="dxa"/>
          </w:tcPr>
          <w:p w14:paraId="394C1082"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 xml:space="preserve">Moving and relocation: moving people, equipment or utilities/infrastructure in or </w:t>
            </w:r>
            <w:proofErr w:type="gramStart"/>
            <w:r w:rsidRPr="00311323">
              <w:rPr>
                <w:rFonts w:asciiTheme="minorHAnsi" w:hAnsiTheme="minorHAnsi" w:cstheme="minorHAnsi"/>
                <w:sz w:val="20"/>
                <w:szCs w:val="20"/>
              </w:rPr>
              <w:t>out  of</w:t>
            </w:r>
            <w:proofErr w:type="gramEnd"/>
            <w:r>
              <w:rPr>
                <w:rFonts w:asciiTheme="minorHAnsi" w:hAnsiTheme="minorHAnsi" w:cstheme="minorHAnsi"/>
                <w:sz w:val="20"/>
                <w:szCs w:val="20"/>
              </w:rPr>
              <w:t xml:space="preserve"> </w:t>
            </w:r>
            <w:r w:rsidRPr="00311323">
              <w:rPr>
                <w:rFonts w:asciiTheme="minorHAnsi" w:hAnsiTheme="minorHAnsi" w:cstheme="minorHAnsi"/>
                <w:sz w:val="20"/>
                <w:szCs w:val="20"/>
              </w:rPr>
              <w:t>building</w:t>
            </w:r>
          </w:p>
        </w:tc>
        <w:tc>
          <w:tcPr>
            <w:tcW w:w="1170" w:type="dxa"/>
            <w:vAlign w:val="center"/>
          </w:tcPr>
          <w:p w14:paraId="36221E19"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633" w:type="dxa"/>
            <w:vAlign w:val="center"/>
          </w:tcPr>
          <w:p w14:paraId="55E97AE0"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710" w:type="dxa"/>
            <w:tcBorders>
              <w:right w:val="double" w:sz="2" w:space="0" w:color="000000"/>
            </w:tcBorders>
            <w:vAlign w:val="center"/>
          </w:tcPr>
          <w:p w14:paraId="791BBC63"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38171A13"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r>
      <w:tr w:rsidR="00D3782C" w:rsidRPr="0032144C" w14:paraId="533D4439" w14:textId="77777777" w:rsidTr="004A1838">
        <w:trPr>
          <w:trHeight w:val="360"/>
          <w:jc w:val="center"/>
        </w:trPr>
        <w:tc>
          <w:tcPr>
            <w:tcW w:w="3939" w:type="dxa"/>
          </w:tcPr>
          <w:p w14:paraId="439B5351"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Other professional services related directly to</w:t>
            </w:r>
          </w:p>
          <w:p w14:paraId="38D8126F"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the purchase</w:t>
            </w:r>
          </w:p>
        </w:tc>
        <w:tc>
          <w:tcPr>
            <w:tcW w:w="1170" w:type="dxa"/>
            <w:vAlign w:val="center"/>
          </w:tcPr>
          <w:p w14:paraId="5447F527"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6794C849"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51D480AB"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60590C64"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2D4ECDF7" w14:textId="77777777" w:rsidTr="004A1838">
        <w:trPr>
          <w:trHeight w:val="180"/>
          <w:jc w:val="center"/>
        </w:trPr>
        <w:tc>
          <w:tcPr>
            <w:tcW w:w="3939" w:type="dxa"/>
          </w:tcPr>
          <w:p w14:paraId="706F2E1F"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Purchase price</w:t>
            </w:r>
          </w:p>
        </w:tc>
        <w:tc>
          <w:tcPr>
            <w:tcW w:w="1170" w:type="dxa"/>
            <w:vAlign w:val="center"/>
          </w:tcPr>
          <w:p w14:paraId="74495F48"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3DD94F75" w14:textId="77777777" w:rsidR="00D3782C" w:rsidRPr="00311323" w:rsidRDefault="00D3782C" w:rsidP="00FD12A1">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54CA108C"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157" w:type="dxa"/>
            <w:tcBorders>
              <w:left w:val="double" w:sz="2" w:space="0" w:color="000000"/>
            </w:tcBorders>
            <w:vAlign w:val="center"/>
          </w:tcPr>
          <w:p w14:paraId="66E9AAEA"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3F82FDB5" w14:textId="77777777" w:rsidTr="004A1838">
        <w:trPr>
          <w:trHeight w:val="180"/>
          <w:jc w:val="center"/>
        </w:trPr>
        <w:tc>
          <w:tcPr>
            <w:tcW w:w="3939" w:type="dxa"/>
          </w:tcPr>
          <w:p w14:paraId="43405958"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Real estate taxes</w:t>
            </w:r>
          </w:p>
        </w:tc>
        <w:tc>
          <w:tcPr>
            <w:tcW w:w="1170" w:type="dxa"/>
            <w:vAlign w:val="center"/>
          </w:tcPr>
          <w:p w14:paraId="16B04BEE"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633" w:type="dxa"/>
            <w:vAlign w:val="center"/>
          </w:tcPr>
          <w:p w14:paraId="045D9D77"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710" w:type="dxa"/>
            <w:tcBorders>
              <w:right w:val="double" w:sz="2" w:space="0" w:color="000000"/>
            </w:tcBorders>
            <w:vAlign w:val="center"/>
          </w:tcPr>
          <w:p w14:paraId="166E93F5"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2B2EDA8C" w14:textId="77777777" w:rsidR="00D3782C" w:rsidRPr="00311323" w:rsidRDefault="00D3782C" w:rsidP="00FD12A1">
            <w:pPr>
              <w:pStyle w:val="TableParagraph"/>
              <w:tabs>
                <w:tab w:val="left" w:pos="0"/>
              </w:tabs>
              <w:ind w:left="47"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r>
      <w:tr w:rsidR="00D3782C" w:rsidRPr="0032144C" w14:paraId="53E7E864" w14:textId="77777777" w:rsidTr="004A1838">
        <w:trPr>
          <w:trHeight w:val="360"/>
          <w:jc w:val="center"/>
        </w:trPr>
        <w:tc>
          <w:tcPr>
            <w:tcW w:w="3939" w:type="dxa"/>
          </w:tcPr>
          <w:p w14:paraId="1F4BE238" w14:textId="77777777" w:rsidR="00D3782C" w:rsidRPr="00311323" w:rsidRDefault="00D3782C" w:rsidP="00FD12A1">
            <w:pPr>
              <w:pStyle w:val="TableParagraph"/>
              <w:ind w:left="18"/>
              <w:rPr>
                <w:rFonts w:asciiTheme="minorHAnsi" w:hAnsiTheme="minorHAnsi" w:cstheme="minorHAnsi"/>
                <w:sz w:val="20"/>
                <w:szCs w:val="20"/>
              </w:rPr>
            </w:pPr>
            <w:r>
              <w:rPr>
                <w:rFonts w:asciiTheme="minorHAnsi" w:hAnsiTheme="minorHAnsi" w:cstheme="minorHAnsi"/>
                <w:sz w:val="20"/>
                <w:szCs w:val="20"/>
              </w:rPr>
              <w:t>Recording fees</w:t>
            </w:r>
            <w:r w:rsidRPr="00311323">
              <w:rPr>
                <w:rFonts w:asciiTheme="minorHAnsi" w:hAnsiTheme="minorHAnsi" w:cstheme="minorHAnsi"/>
                <w:sz w:val="20"/>
                <w:szCs w:val="20"/>
              </w:rPr>
              <w:t xml:space="preserve"> (e.g., title/ownership</w:t>
            </w:r>
          </w:p>
          <w:p w14:paraId="3D32538A"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Registration, etc.)</w:t>
            </w:r>
          </w:p>
        </w:tc>
        <w:tc>
          <w:tcPr>
            <w:tcW w:w="1170" w:type="dxa"/>
            <w:vAlign w:val="center"/>
          </w:tcPr>
          <w:p w14:paraId="4EBB9CC4"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0E79D78F"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734F3FF2"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42550D31"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3554AA10" w14:textId="77777777" w:rsidTr="004A1838">
        <w:trPr>
          <w:trHeight w:val="160"/>
          <w:jc w:val="center"/>
        </w:trPr>
        <w:tc>
          <w:tcPr>
            <w:tcW w:w="3939" w:type="dxa"/>
          </w:tcPr>
          <w:p w14:paraId="02CB2B22"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Title insurance</w:t>
            </w:r>
          </w:p>
        </w:tc>
        <w:tc>
          <w:tcPr>
            <w:tcW w:w="1170" w:type="dxa"/>
            <w:vAlign w:val="center"/>
          </w:tcPr>
          <w:p w14:paraId="474272EB"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5B3F8AB9" w14:textId="77777777" w:rsidR="00D3782C" w:rsidRPr="00311323" w:rsidRDefault="00D3782C" w:rsidP="00FD12A1">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2FB9B486"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024F3FF1"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r w:rsidR="00D3782C" w:rsidRPr="0032144C" w14:paraId="501BBEAB" w14:textId="77777777" w:rsidTr="004A1838">
        <w:trPr>
          <w:trHeight w:val="160"/>
          <w:jc w:val="center"/>
        </w:trPr>
        <w:tc>
          <w:tcPr>
            <w:tcW w:w="3939" w:type="dxa"/>
          </w:tcPr>
          <w:p w14:paraId="0C0CF36C" w14:textId="77777777" w:rsidR="00D3782C" w:rsidRPr="00311323" w:rsidRDefault="00D3782C" w:rsidP="00FD12A1">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Title searches</w:t>
            </w:r>
          </w:p>
        </w:tc>
        <w:tc>
          <w:tcPr>
            <w:tcW w:w="1170" w:type="dxa"/>
            <w:vAlign w:val="center"/>
          </w:tcPr>
          <w:p w14:paraId="67E324EA" w14:textId="77777777" w:rsidR="00D3782C" w:rsidRPr="00311323" w:rsidRDefault="00D3782C" w:rsidP="00FD12A1">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100C0512" w14:textId="77777777" w:rsidR="00D3782C" w:rsidRPr="00311323" w:rsidRDefault="00D3782C" w:rsidP="00FD12A1">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382B31C5"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6C212F2D" w14:textId="77777777" w:rsidR="00D3782C" w:rsidRPr="00311323" w:rsidRDefault="00D3782C" w:rsidP="00FD12A1">
            <w:pPr>
              <w:pStyle w:val="TableParagraph"/>
              <w:tabs>
                <w:tab w:val="left" w:pos="0"/>
              </w:tabs>
              <w:ind w:right="77"/>
              <w:jc w:val="center"/>
              <w:rPr>
                <w:rFonts w:asciiTheme="minorHAnsi" w:hAnsiTheme="minorHAnsi" w:cstheme="minorHAnsi"/>
                <w:sz w:val="20"/>
                <w:szCs w:val="20"/>
              </w:rPr>
            </w:pPr>
          </w:p>
        </w:tc>
      </w:tr>
    </w:tbl>
    <w:p w14:paraId="536E808F" w14:textId="77777777" w:rsidR="00D3782C" w:rsidRDefault="00D3782C" w:rsidP="00D3782C">
      <w:r>
        <w:rPr>
          <w:rFonts w:ascii="Times New Roman"/>
          <w:sz w:val="13"/>
        </w:rPr>
        <w:t>*</w:t>
      </w:r>
      <w:r w:rsidRPr="00A94B08">
        <w:t xml:space="preserve"> </w:t>
      </w:r>
      <w:r>
        <w:t xml:space="preserve">Capitalizing total project or fixed equipment costs of $100,000 or more and less than $300,000 is </w:t>
      </w:r>
      <w:proofErr w:type="gramStart"/>
      <w:r>
        <w:t>allowable, but</w:t>
      </w:r>
      <w:proofErr w:type="gramEnd"/>
      <w:r>
        <w:t xml:space="preserve"> not required.</w:t>
      </w:r>
    </w:p>
    <w:p w14:paraId="50692060" w14:textId="5E005E79" w:rsidR="00173593" w:rsidRDefault="00173593" w:rsidP="00D3782C">
      <w:r>
        <w:t xml:space="preserve">** </w:t>
      </w:r>
      <w:r w:rsidR="008518BE">
        <w:t xml:space="preserve">Capitalization threshold is $10,000 per unit UNLESS purchased on sponsored </w:t>
      </w:r>
      <w:r w:rsidR="00B5547E" w:rsidRPr="00564D75">
        <w:t xml:space="preserve">award </w:t>
      </w:r>
      <w:r w:rsidR="00B5547E">
        <w:t xml:space="preserve">with a </w:t>
      </w:r>
      <w:r w:rsidR="00B5547E" w:rsidRPr="00564D75">
        <w:t xml:space="preserve">start date </w:t>
      </w:r>
      <w:r w:rsidR="00B5547E" w:rsidRPr="00564D75">
        <w:rPr>
          <w:b/>
          <w:bCs/>
        </w:rPr>
        <w:t>before 07/01/25</w:t>
      </w:r>
      <w:r w:rsidR="00D902E7">
        <w:rPr>
          <w:b/>
          <w:bCs/>
        </w:rPr>
        <w:t xml:space="preserve"> </w:t>
      </w:r>
      <w:r w:rsidR="008518BE">
        <w:t xml:space="preserve">in which case </w:t>
      </w:r>
      <w:r w:rsidR="00A9141A">
        <w:t>the threshold MUST be $5,000 per unit.</w:t>
      </w:r>
    </w:p>
    <w:p w14:paraId="5146D101" w14:textId="77777777" w:rsidR="00D3782C" w:rsidRDefault="00D3782C" w:rsidP="00D3782C">
      <w:pPr>
        <w:spacing w:after="0" w:line="240" w:lineRule="auto"/>
      </w:pPr>
      <w:r>
        <w:br w:type="page"/>
      </w:r>
    </w:p>
    <w:p w14:paraId="24CCF226" w14:textId="77777777" w:rsidR="00D3782C" w:rsidRPr="00F22D21" w:rsidRDefault="00D3782C" w:rsidP="00D3782C">
      <w:pPr>
        <w:rPr>
          <w:rFonts w:cstheme="minorHAnsi"/>
          <w:b/>
          <w:sz w:val="24"/>
          <w:szCs w:val="24"/>
        </w:rPr>
      </w:pPr>
      <w:r w:rsidRPr="00F22D21">
        <w:rPr>
          <w:rFonts w:cstheme="minorHAnsi"/>
          <w:b/>
          <w:sz w:val="24"/>
          <w:szCs w:val="24"/>
        </w:rPr>
        <w:lastRenderedPageBreak/>
        <w:t xml:space="preserve">Reference on when to capitalize versus expense items when acquired by </w:t>
      </w:r>
      <w:r>
        <w:rPr>
          <w:rFonts w:cstheme="minorHAnsi"/>
          <w:b/>
          <w:sz w:val="24"/>
          <w:szCs w:val="24"/>
        </w:rPr>
        <w:t>construction</w:t>
      </w:r>
    </w:p>
    <w:tbl>
      <w:tblPr>
        <w:tblW w:w="10890"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60"/>
        <w:gridCol w:w="1080"/>
        <w:gridCol w:w="900"/>
        <w:gridCol w:w="1493"/>
        <w:gridCol w:w="1387"/>
        <w:gridCol w:w="1170"/>
      </w:tblGrid>
      <w:tr w:rsidR="00D3782C" w:rsidRPr="007D0177" w14:paraId="71CD7B7C" w14:textId="77777777" w:rsidTr="00FD12A1">
        <w:trPr>
          <w:trHeight w:val="269"/>
          <w:tblHeader/>
        </w:trPr>
        <w:tc>
          <w:tcPr>
            <w:tcW w:w="10890" w:type="dxa"/>
            <w:gridSpan w:val="6"/>
          </w:tcPr>
          <w:p w14:paraId="65726D06" w14:textId="77777777" w:rsidR="00D3782C" w:rsidRPr="007D0177" w:rsidRDefault="00D3782C" w:rsidP="00FD12A1">
            <w:pPr>
              <w:pStyle w:val="TableParagraph"/>
              <w:rPr>
                <w:rFonts w:ascii="Times New Roman"/>
              </w:rPr>
            </w:pPr>
            <w:r w:rsidRPr="007D0177">
              <w:rPr>
                <w:rFonts w:asciiTheme="minorHAnsi" w:hAnsiTheme="minorHAnsi" w:cstheme="minorHAnsi"/>
                <w:b/>
              </w:rPr>
              <w:t>Capitalization Versus Expense Guidelines – Item Acquired By Construction</w:t>
            </w:r>
          </w:p>
        </w:tc>
      </w:tr>
      <w:tr w:rsidR="00D3782C" w:rsidRPr="00311323" w14:paraId="04EB799F" w14:textId="77777777" w:rsidTr="006B2233">
        <w:trPr>
          <w:trHeight w:val="260"/>
          <w:tblHeader/>
        </w:trPr>
        <w:tc>
          <w:tcPr>
            <w:tcW w:w="4860" w:type="dxa"/>
          </w:tcPr>
          <w:p w14:paraId="73072AFF" w14:textId="77777777" w:rsidR="00D3782C" w:rsidRPr="00311323" w:rsidRDefault="00D3782C" w:rsidP="00FD12A1">
            <w:pPr>
              <w:pStyle w:val="TableParagraph"/>
              <w:rPr>
                <w:rFonts w:asciiTheme="minorHAnsi" w:hAnsiTheme="minorHAnsi" w:cstheme="minorHAnsi"/>
                <w:sz w:val="16"/>
                <w:szCs w:val="16"/>
              </w:rPr>
            </w:pPr>
          </w:p>
        </w:tc>
        <w:tc>
          <w:tcPr>
            <w:tcW w:w="1080" w:type="dxa"/>
            <w:tcBorders>
              <w:right w:val="nil"/>
            </w:tcBorders>
          </w:tcPr>
          <w:p w14:paraId="750968A7" w14:textId="77777777" w:rsidR="00D3782C" w:rsidRPr="00311323" w:rsidRDefault="00D3782C" w:rsidP="00FD12A1">
            <w:pPr>
              <w:pStyle w:val="TableParagraph"/>
              <w:rPr>
                <w:rFonts w:asciiTheme="minorHAnsi" w:hAnsiTheme="minorHAnsi" w:cstheme="minorHAnsi"/>
                <w:sz w:val="16"/>
                <w:szCs w:val="16"/>
              </w:rPr>
            </w:pPr>
          </w:p>
        </w:tc>
        <w:tc>
          <w:tcPr>
            <w:tcW w:w="2393" w:type="dxa"/>
            <w:gridSpan w:val="2"/>
            <w:tcBorders>
              <w:left w:val="nil"/>
              <w:right w:val="nil"/>
            </w:tcBorders>
            <w:vAlign w:val="center"/>
          </w:tcPr>
          <w:p w14:paraId="0500BDCA" w14:textId="77777777" w:rsidR="00D3782C" w:rsidRPr="00311323" w:rsidRDefault="00D3782C" w:rsidP="00FD12A1">
            <w:pPr>
              <w:pStyle w:val="TableParagraph"/>
              <w:spacing w:line="158" w:lineRule="exact"/>
              <w:ind w:left="43" w:right="190"/>
              <w:jc w:val="center"/>
              <w:rPr>
                <w:rFonts w:asciiTheme="minorHAnsi" w:hAnsiTheme="minorHAnsi" w:cstheme="minorHAnsi"/>
                <w:b/>
                <w:sz w:val="16"/>
                <w:szCs w:val="16"/>
              </w:rPr>
            </w:pPr>
            <w:r>
              <w:rPr>
                <w:rFonts w:asciiTheme="minorHAnsi" w:hAnsiTheme="minorHAnsi" w:cstheme="minorHAnsi"/>
                <w:b/>
                <w:sz w:val="20"/>
                <w:szCs w:val="20"/>
              </w:rPr>
              <w:t xml:space="preserve">REQUIRED TO </w:t>
            </w:r>
            <w:r w:rsidRPr="007D0177">
              <w:rPr>
                <w:rFonts w:asciiTheme="minorHAnsi" w:hAnsiTheme="minorHAnsi" w:cstheme="minorHAnsi"/>
                <w:b/>
                <w:sz w:val="20"/>
                <w:szCs w:val="20"/>
              </w:rPr>
              <w:t>CAPITALIZ</w:t>
            </w:r>
            <w:r>
              <w:rPr>
                <w:rFonts w:asciiTheme="minorHAnsi" w:hAnsiTheme="minorHAnsi" w:cstheme="minorHAnsi"/>
                <w:b/>
                <w:sz w:val="20"/>
                <w:szCs w:val="20"/>
              </w:rPr>
              <w:t>E</w:t>
            </w:r>
          </w:p>
        </w:tc>
        <w:tc>
          <w:tcPr>
            <w:tcW w:w="1387" w:type="dxa"/>
            <w:tcBorders>
              <w:left w:val="nil"/>
              <w:right w:val="double" w:sz="2" w:space="0" w:color="000000"/>
            </w:tcBorders>
          </w:tcPr>
          <w:p w14:paraId="087DB040" w14:textId="77777777" w:rsidR="00D3782C" w:rsidRPr="00311323" w:rsidRDefault="00D3782C" w:rsidP="00FD12A1">
            <w:pPr>
              <w:pStyle w:val="TableParagraph"/>
              <w:rPr>
                <w:rFonts w:asciiTheme="minorHAnsi" w:hAnsiTheme="minorHAnsi" w:cstheme="minorHAnsi"/>
                <w:sz w:val="16"/>
                <w:szCs w:val="16"/>
              </w:rPr>
            </w:pPr>
          </w:p>
        </w:tc>
        <w:tc>
          <w:tcPr>
            <w:tcW w:w="1170" w:type="dxa"/>
            <w:tcBorders>
              <w:left w:val="double" w:sz="2" w:space="0" w:color="000000"/>
            </w:tcBorders>
          </w:tcPr>
          <w:p w14:paraId="58DF2DC3" w14:textId="77777777" w:rsidR="00D3782C" w:rsidRPr="00311323" w:rsidRDefault="00D3782C" w:rsidP="00FD12A1">
            <w:pPr>
              <w:pStyle w:val="TableParagraph"/>
              <w:rPr>
                <w:rFonts w:asciiTheme="minorHAnsi" w:hAnsiTheme="minorHAnsi" w:cstheme="minorHAnsi"/>
                <w:sz w:val="16"/>
                <w:szCs w:val="16"/>
              </w:rPr>
            </w:pPr>
          </w:p>
        </w:tc>
      </w:tr>
      <w:tr w:rsidR="00D3782C" w:rsidRPr="007D0177" w14:paraId="5DF14366" w14:textId="77777777" w:rsidTr="006B2233">
        <w:trPr>
          <w:trHeight w:val="1280"/>
          <w:tblHeader/>
        </w:trPr>
        <w:tc>
          <w:tcPr>
            <w:tcW w:w="4860" w:type="dxa"/>
          </w:tcPr>
          <w:p w14:paraId="58A56BD4" w14:textId="77777777" w:rsidR="00D3782C" w:rsidRPr="007D0177" w:rsidRDefault="00D3782C" w:rsidP="00FD12A1">
            <w:pPr>
              <w:pStyle w:val="TableParagraph"/>
              <w:jc w:val="center"/>
              <w:rPr>
                <w:rFonts w:asciiTheme="minorHAnsi" w:hAnsiTheme="minorHAnsi" w:cstheme="minorHAnsi"/>
                <w:sz w:val="20"/>
                <w:szCs w:val="20"/>
              </w:rPr>
            </w:pPr>
          </w:p>
        </w:tc>
        <w:tc>
          <w:tcPr>
            <w:tcW w:w="1080" w:type="dxa"/>
            <w:tcBorders>
              <w:right w:val="nil"/>
            </w:tcBorders>
          </w:tcPr>
          <w:p w14:paraId="5D267E27" w14:textId="77777777" w:rsidR="00D3782C" w:rsidRDefault="00D3782C" w:rsidP="00FD12A1">
            <w:pPr>
              <w:pStyle w:val="TableParagraph"/>
              <w:ind w:right="150"/>
              <w:jc w:val="center"/>
              <w:rPr>
                <w:rFonts w:asciiTheme="minorHAnsi" w:hAnsiTheme="minorHAnsi" w:cstheme="minorHAnsi"/>
                <w:b/>
                <w:sz w:val="20"/>
                <w:szCs w:val="20"/>
              </w:rPr>
            </w:pPr>
            <w:r w:rsidRPr="007D0177">
              <w:rPr>
                <w:rFonts w:asciiTheme="minorHAnsi" w:hAnsiTheme="minorHAnsi" w:cstheme="minorHAnsi"/>
                <w:b/>
                <w:sz w:val="20"/>
                <w:szCs w:val="20"/>
              </w:rPr>
              <w:t>Land</w:t>
            </w:r>
          </w:p>
          <w:p w14:paraId="28C28BB7" w14:textId="77777777" w:rsidR="00D3782C" w:rsidRPr="007D0177" w:rsidRDefault="00D3782C" w:rsidP="00FD12A1">
            <w:pPr>
              <w:pStyle w:val="TableParagraph"/>
              <w:ind w:right="150"/>
              <w:jc w:val="center"/>
              <w:rPr>
                <w:rFonts w:asciiTheme="minorHAnsi" w:hAnsiTheme="minorHAnsi" w:cstheme="minorHAnsi"/>
                <w:b/>
                <w:sz w:val="20"/>
                <w:szCs w:val="20"/>
              </w:rPr>
            </w:pPr>
            <w:r w:rsidRPr="007D0177">
              <w:rPr>
                <w:rFonts w:asciiTheme="minorHAnsi" w:hAnsiTheme="minorHAnsi" w:cstheme="minorHAnsi"/>
                <w:b/>
                <w:sz w:val="20"/>
                <w:szCs w:val="20"/>
              </w:rPr>
              <w:t>(all amounts)</w:t>
            </w:r>
          </w:p>
        </w:tc>
        <w:tc>
          <w:tcPr>
            <w:tcW w:w="900" w:type="dxa"/>
            <w:tcBorders>
              <w:left w:val="nil"/>
              <w:right w:val="nil"/>
            </w:tcBorders>
          </w:tcPr>
          <w:p w14:paraId="4A76B463" w14:textId="77777777" w:rsidR="00D3782C" w:rsidRPr="007D0177" w:rsidRDefault="00D3782C" w:rsidP="00FD12A1">
            <w:pPr>
              <w:pStyle w:val="TableParagraph"/>
              <w:tabs>
                <w:tab w:val="left" w:pos="1371"/>
                <w:tab w:val="left" w:pos="1431"/>
              </w:tabs>
              <w:ind w:right="188"/>
              <w:jc w:val="center"/>
              <w:rPr>
                <w:rFonts w:asciiTheme="minorHAnsi" w:hAnsiTheme="minorHAnsi" w:cstheme="minorHAnsi"/>
                <w:b/>
                <w:sz w:val="20"/>
                <w:szCs w:val="20"/>
              </w:rPr>
            </w:pPr>
            <w:r w:rsidRPr="007D0177">
              <w:rPr>
                <w:rFonts w:asciiTheme="minorHAnsi" w:hAnsiTheme="minorHAnsi" w:cstheme="minorHAnsi"/>
                <w:b/>
                <w:sz w:val="20"/>
                <w:szCs w:val="20"/>
              </w:rPr>
              <w:t>Land</w:t>
            </w:r>
          </w:p>
        </w:tc>
        <w:tc>
          <w:tcPr>
            <w:tcW w:w="1493" w:type="dxa"/>
            <w:tcBorders>
              <w:left w:val="nil"/>
              <w:right w:val="nil"/>
            </w:tcBorders>
          </w:tcPr>
          <w:p w14:paraId="46F309B0" w14:textId="77777777" w:rsidR="00D3782C" w:rsidRPr="007D0177" w:rsidRDefault="00D3782C" w:rsidP="00FD12A1">
            <w:pPr>
              <w:pStyle w:val="TableParagraph"/>
              <w:ind w:left="-5" w:right="177"/>
              <w:jc w:val="center"/>
              <w:rPr>
                <w:rFonts w:asciiTheme="minorHAnsi" w:hAnsiTheme="minorHAnsi" w:cstheme="minorHAnsi"/>
                <w:b/>
                <w:sz w:val="20"/>
                <w:szCs w:val="20"/>
              </w:rPr>
            </w:pPr>
            <w:r w:rsidRPr="007D0177">
              <w:rPr>
                <w:rFonts w:asciiTheme="minorHAnsi" w:hAnsiTheme="minorHAnsi" w:cstheme="minorHAnsi"/>
                <w:b/>
                <w:sz w:val="20"/>
                <w:szCs w:val="20"/>
              </w:rPr>
              <w:t xml:space="preserve">Building (and </w:t>
            </w:r>
            <w:r w:rsidRPr="007D0177">
              <w:rPr>
                <w:rFonts w:asciiTheme="minorHAnsi" w:hAnsiTheme="minorHAnsi" w:cstheme="minorHAnsi"/>
                <w:b/>
                <w:w w:val="95"/>
                <w:sz w:val="20"/>
                <w:szCs w:val="20"/>
              </w:rPr>
              <w:t xml:space="preserve">improvements) </w:t>
            </w:r>
            <w:r w:rsidRPr="007D0177">
              <w:rPr>
                <w:rFonts w:asciiTheme="minorHAnsi" w:hAnsiTheme="minorHAnsi" w:cstheme="minorHAnsi"/>
                <w:b/>
                <w:sz w:val="20"/>
                <w:szCs w:val="20"/>
              </w:rPr>
              <w:t>(if total project costs &gt;= $</w:t>
            </w:r>
            <w:r>
              <w:rPr>
                <w:rFonts w:asciiTheme="minorHAnsi" w:hAnsiTheme="minorHAnsi" w:cstheme="minorHAnsi"/>
                <w:b/>
                <w:sz w:val="20"/>
                <w:szCs w:val="20"/>
              </w:rPr>
              <w:t>3</w:t>
            </w:r>
            <w:r w:rsidRPr="007D0177">
              <w:rPr>
                <w:rFonts w:asciiTheme="minorHAnsi" w:hAnsiTheme="minorHAnsi" w:cstheme="minorHAnsi"/>
                <w:b/>
                <w:sz w:val="20"/>
                <w:szCs w:val="20"/>
              </w:rPr>
              <w:t>00,000</w:t>
            </w:r>
            <w:r>
              <w:rPr>
                <w:rFonts w:asciiTheme="minorHAnsi" w:hAnsiTheme="minorHAnsi" w:cstheme="minorHAnsi"/>
                <w:b/>
                <w:sz w:val="20"/>
                <w:szCs w:val="20"/>
              </w:rPr>
              <w:t>*</w:t>
            </w:r>
          </w:p>
        </w:tc>
        <w:tc>
          <w:tcPr>
            <w:tcW w:w="1387" w:type="dxa"/>
            <w:tcBorders>
              <w:left w:val="nil"/>
              <w:right w:val="double" w:sz="2" w:space="0" w:color="000000"/>
            </w:tcBorders>
          </w:tcPr>
          <w:p w14:paraId="74C788F7" w14:textId="69D3BEB0" w:rsidR="00D3782C" w:rsidRPr="007D0177" w:rsidRDefault="00D3782C" w:rsidP="00FD12A1">
            <w:pPr>
              <w:pStyle w:val="TableParagraph"/>
              <w:ind w:left="97" w:right="118" w:firstLine="5"/>
              <w:jc w:val="center"/>
              <w:rPr>
                <w:rFonts w:asciiTheme="minorHAnsi" w:hAnsiTheme="minorHAnsi" w:cstheme="minorHAnsi"/>
                <w:b/>
                <w:sz w:val="20"/>
                <w:szCs w:val="20"/>
              </w:rPr>
            </w:pPr>
            <w:r w:rsidRPr="007D0177">
              <w:rPr>
                <w:rFonts w:asciiTheme="minorHAnsi" w:hAnsiTheme="minorHAnsi" w:cstheme="minorHAnsi"/>
                <w:b/>
                <w:sz w:val="20"/>
                <w:szCs w:val="20"/>
              </w:rPr>
              <w:t>Moveable Furnishings</w:t>
            </w:r>
            <w:r w:rsidRPr="007D0177">
              <w:rPr>
                <w:rFonts w:asciiTheme="minorHAnsi" w:hAnsiTheme="minorHAnsi" w:cstheme="minorHAnsi"/>
                <w:b/>
                <w:spacing w:val="-13"/>
                <w:sz w:val="20"/>
                <w:szCs w:val="20"/>
              </w:rPr>
              <w:t xml:space="preserve"> </w:t>
            </w:r>
            <w:r w:rsidRPr="007D0177">
              <w:rPr>
                <w:rFonts w:asciiTheme="minorHAnsi" w:hAnsiTheme="minorHAnsi" w:cstheme="minorHAnsi"/>
                <w:b/>
                <w:sz w:val="20"/>
                <w:szCs w:val="20"/>
              </w:rPr>
              <w:t xml:space="preserve">+ Equipment (if </w:t>
            </w:r>
            <w:r w:rsidR="005E60F8">
              <w:rPr>
                <w:rFonts w:asciiTheme="minorHAnsi" w:hAnsiTheme="minorHAnsi" w:cstheme="minorHAnsi"/>
                <w:b/>
                <w:sz w:val="20"/>
                <w:szCs w:val="20"/>
              </w:rPr>
              <w:t xml:space="preserve">capitalization threshold </w:t>
            </w:r>
            <w:proofErr w:type="gramStart"/>
            <w:r w:rsidR="005E60F8">
              <w:rPr>
                <w:rFonts w:asciiTheme="minorHAnsi" w:hAnsiTheme="minorHAnsi" w:cstheme="minorHAnsi"/>
                <w:b/>
                <w:sz w:val="20"/>
                <w:szCs w:val="20"/>
              </w:rPr>
              <w:t>met</w:t>
            </w:r>
            <w:r w:rsidRPr="007D0177">
              <w:rPr>
                <w:rFonts w:asciiTheme="minorHAnsi" w:hAnsiTheme="minorHAnsi" w:cstheme="minorHAnsi"/>
                <w:b/>
                <w:sz w:val="20"/>
                <w:szCs w:val="20"/>
              </w:rPr>
              <w:t>)</w:t>
            </w:r>
            <w:r w:rsidR="005E60F8">
              <w:rPr>
                <w:rFonts w:asciiTheme="minorHAnsi" w:hAnsiTheme="minorHAnsi" w:cstheme="minorHAnsi"/>
                <w:b/>
                <w:sz w:val="20"/>
                <w:szCs w:val="20"/>
              </w:rPr>
              <w:t>*</w:t>
            </w:r>
            <w:proofErr w:type="gramEnd"/>
            <w:r w:rsidR="005E60F8">
              <w:rPr>
                <w:rFonts w:asciiTheme="minorHAnsi" w:hAnsiTheme="minorHAnsi" w:cstheme="minorHAnsi"/>
                <w:b/>
                <w:sz w:val="20"/>
                <w:szCs w:val="20"/>
              </w:rPr>
              <w:t>*</w:t>
            </w:r>
          </w:p>
        </w:tc>
        <w:tc>
          <w:tcPr>
            <w:tcW w:w="1170" w:type="dxa"/>
            <w:tcBorders>
              <w:left w:val="double" w:sz="2" w:space="0" w:color="000000"/>
            </w:tcBorders>
          </w:tcPr>
          <w:p w14:paraId="25DE5861" w14:textId="77777777" w:rsidR="00D3782C" w:rsidRPr="007D0177" w:rsidRDefault="00D3782C" w:rsidP="00FD12A1">
            <w:pPr>
              <w:pStyle w:val="TableParagraph"/>
              <w:ind w:left="158" w:right="104" w:firstLine="31"/>
              <w:jc w:val="center"/>
              <w:rPr>
                <w:rFonts w:asciiTheme="minorHAnsi" w:hAnsiTheme="minorHAnsi" w:cstheme="minorHAnsi"/>
                <w:b/>
                <w:sz w:val="20"/>
                <w:szCs w:val="20"/>
              </w:rPr>
            </w:pPr>
            <w:r w:rsidRPr="007D0177">
              <w:rPr>
                <w:rFonts w:asciiTheme="minorHAnsi" w:hAnsiTheme="minorHAnsi" w:cstheme="minorHAnsi"/>
                <w:b/>
                <w:sz w:val="20"/>
                <w:szCs w:val="20"/>
              </w:rPr>
              <w:t>ALWAYS EXPENSE</w:t>
            </w:r>
          </w:p>
        </w:tc>
      </w:tr>
      <w:tr w:rsidR="00D3782C" w:rsidRPr="007D0177" w14:paraId="3FB6DC90" w14:textId="77777777" w:rsidTr="006B2233">
        <w:trPr>
          <w:trHeight w:val="160"/>
        </w:trPr>
        <w:tc>
          <w:tcPr>
            <w:tcW w:w="4860" w:type="dxa"/>
          </w:tcPr>
          <w:p w14:paraId="0BB388CF"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Accounting fees</w:t>
            </w:r>
          </w:p>
        </w:tc>
        <w:tc>
          <w:tcPr>
            <w:tcW w:w="1080" w:type="dxa"/>
            <w:vAlign w:val="center"/>
          </w:tcPr>
          <w:p w14:paraId="01941E22"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900" w:type="dxa"/>
            <w:vAlign w:val="center"/>
          </w:tcPr>
          <w:p w14:paraId="2A54A2EB"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0BFADD6E"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320D6B96"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7E5388A"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0BBAC7C2" w14:textId="77777777" w:rsidTr="006B2233">
        <w:trPr>
          <w:trHeight w:val="827"/>
        </w:trPr>
        <w:tc>
          <w:tcPr>
            <w:tcW w:w="4860" w:type="dxa"/>
          </w:tcPr>
          <w:p w14:paraId="65385AF9" w14:textId="77777777" w:rsidR="00D3782C" w:rsidRPr="007D0177" w:rsidRDefault="00D3782C" w:rsidP="00FD12A1">
            <w:pPr>
              <w:pStyle w:val="TableParagraph"/>
              <w:ind w:left="17" w:right="131"/>
              <w:rPr>
                <w:rFonts w:asciiTheme="minorHAnsi" w:hAnsiTheme="minorHAnsi" w:cstheme="minorHAnsi"/>
                <w:sz w:val="20"/>
                <w:szCs w:val="20"/>
              </w:rPr>
            </w:pPr>
            <w:r w:rsidRPr="007D0177">
              <w:rPr>
                <w:rFonts w:asciiTheme="minorHAnsi" w:hAnsiTheme="minorHAnsi" w:cstheme="minorHAnsi"/>
                <w:sz w:val="20"/>
                <w:szCs w:val="20"/>
              </w:rPr>
              <w:t>Alterations – changes in the internal structural arrangement or other physical characteristics of an existing asset so that it may be effectively used for a newly designated purpose (e.g., adding a new wing or offices, changing office space into classroom space, converting three offices into one office, fitting out space for a new tenant, etc.)</w:t>
            </w:r>
          </w:p>
        </w:tc>
        <w:tc>
          <w:tcPr>
            <w:tcW w:w="1080" w:type="dxa"/>
            <w:vAlign w:val="center"/>
          </w:tcPr>
          <w:p w14:paraId="3E06FA6B"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2CC1AD4B"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1D21E898"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38E4DA99"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170" w:type="dxa"/>
            <w:tcBorders>
              <w:left w:val="double" w:sz="2" w:space="0" w:color="000000"/>
            </w:tcBorders>
            <w:vAlign w:val="center"/>
          </w:tcPr>
          <w:p w14:paraId="3EA2EF15"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7D77C11D" w14:textId="77777777" w:rsidTr="006B2233">
        <w:trPr>
          <w:trHeight w:val="160"/>
        </w:trPr>
        <w:tc>
          <w:tcPr>
            <w:tcW w:w="4860" w:type="dxa"/>
          </w:tcPr>
          <w:p w14:paraId="178E09C3"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Appraisals</w:t>
            </w:r>
          </w:p>
        </w:tc>
        <w:tc>
          <w:tcPr>
            <w:tcW w:w="1080" w:type="dxa"/>
            <w:vAlign w:val="center"/>
          </w:tcPr>
          <w:p w14:paraId="3F193EBA"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900" w:type="dxa"/>
            <w:vAlign w:val="center"/>
          </w:tcPr>
          <w:p w14:paraId="46884AF3"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75B01CE6"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00518E7B"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53D3BFF3"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4E761151" w14:textId="77777777" w:rsidTr="006B2233">
        <w:trPr>
          <w:trHeight w:val="160"/>
        </w:trPr>
        <w:tc>
          <w:tcPr>
            <w:tcW w:w="4860" w:type="dxa"/>
          </w:tcPr>
          <w:p w14:paraId="76387D14"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Architectural services</w:t>
            </w:r>
          </w:p>
        </w:tc>
        <w:tc>
          <w:tcPr>
            <w:tcW w:w="1080" w:type="dxa"/>
            <w:vAlign w:val="center"/>
          </w:tcPr>
          <w:p w14:paraId="702358BB"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170FF080"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598A2DFF"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25138520"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78E6EF45"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6C4B00FC" w14:textId="77777777" w:rsidTr="006B2233">
        <w:trPr>
          <w:trHeight w:val="340"/>
        </w:trPr>
        <w:tc>
          <w:tcPr>
            <w:tcW w:w="4860" w:type="dxa"/>
          </w:tcPr>
          <w:p w14:paraId="228335F5"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Asbestos removal where asbestos was present at</w:t>
            </w:r>
          </w:p>
          <w:p w14:paraId="1EB9B034"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acquisition/construction</w:t>
            </w:r>
          </w:p>
        </w:tc>
        <w:tc>
          <w:tcPr>
            <w:tcW w:w="1080" w:type="dxa"/>
            <w:vAlign w:val="center"/>
          </w:tcPr>
          <w:p w14:paraId="54A97735"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044F0E90"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67EE69C6"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405CCB5D"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2F280FB"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257504FC" w14:textId="77777777" w:rsidTr="006B2233">
        <w:trPr>
          <w:trHeight w:val="160"/>
        </w:trPr>
        <w:tc>
          <w:tcPr>
            <w:tcW w:w="4860" w:type="dxa"/>
          </w:tcPr>
          <w:p w14:paraId="1471C1A7"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Bed tax</w:t>
            </w:r>
          </w:p>
        </w:tc>
        <w:tc>
          <w:tcPr>
            <w:tcW w:w="1080" w:type="dxa"/>
            <w:vAlign w:val="center"/>
          </w:tcPr>
          <w:p w14:paraId="6B1EF21E"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1D3B498F"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0681B2B8"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38B1E010"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1AED8787"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7167098C" w14:textId="77777777" w:rsidTr="006B2233">
        <w:trPr>
          <w:trHeight w:val="160"/>
        </w:trPr>
        <w:tc>
          <w:tcPr>
            <w:tcW w:w="4860" w:type="dxa"/>
          </w:tcPr>
          <w:p w14:paraId="154D0134"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Built-in bookshelves or other built-in furnishings</w:t>
            </w:r>
          </w:p>
        </w:tc>
        <w:tc>
          <w:tcPr>
            <w:tcW w:w="1080" w:type="dxa"/>
            <w:vAlign w:val="center"/>
          </w:tcPr>
          <w:p w14:paraId="4633F092"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51A0F238"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26793EBD"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14689DD2"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0C7B4DDF"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31C109F7" w14:textId="77777777" w:rsidTr="006B2233">
        <w:trPr>
          <w:trHeight w:val="160"/>
        </w:trPr>
        <w:tc>
          <w:tcPr>
            <w:tcW w:w="4860" w:type="dxa"/>
          </w:tcPr>
          <w:p w14:paraId="18E64024"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CAPS fee</w:t>
            </w:r>
          </w:p>
        </w:tc>
        <w:tc>
          <w:tcPr>
            <w:tcW w:w="1080" w:type="dxa"/>
            <w:vAlign w:val="center"/>
          </w:tcPr>
          <w:p w14:paraId="5437575B"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6A1F1353"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45354C1E"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28B5E322"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4D746B9"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5461593D" w14:textId="77777777" w:rsidTr="006B2233">
        <w:trPr>
          <w:trHeight w:val="380"/>
        </w:trPr>
        <w:tc>
          <w:tcPr>
            <w:tcW w:w="4860" w:type="dxa"/>
          </w:tcPr>
          <w:p w14:paraId="55A80BA4" w14:textId="77777777" w:rsidR="00D3782C" w:rsidRPr="007D0177" w:rsidRDefault="00D3782C" w:rsidP="00FD12A1">
            <w:pPr>
              <w:pStyle w:val="TableParagraph"/>
              <w:ind w:left="17" w:right="131"/>
              <w:rPr>
                <w:rFonts w:asciiTheme="minorHAnsi" w:hAnsiTheme="minorHAnsi" w:cstheme="minorHAnsi"/>
                <w:sz w:val="20"/>
                <w:szCs w:val="20"/>
              </w:rPr>
            </w:pPr>
            <w:r w:rsidRPr="007D0177">
              <w:rPr>
                <w:rFonts w:asciiTheme="minorHAnsi" w:hAnsiTheme="minorHAnsi" w:cstheme="minorHAnsi"/>
                <w:sz w:val="20"/>
                <w:szCs w:val="20"/>
              </w:rPr>
              <w:t>Clearing, grading and filling where site was purchased for the purpose of constructing a building</w:t>
            </w:r>
          </w:p>
        </w:tc>
        <w:tc>
          <w:tcPr>
            <w:tcW w:w="1080" w:type="dxa"/>
            <w:vAlign w:val="center"/>
          </w:tcPr>
          <w:p w14:paraId="2AD37449"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900" w:type="dxa"/>
            <w:vAlign w:val="center"/>
          </w:tcPr>
          <w:p w14:paraId="0D20E8F8"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42961A68"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137FD6FC"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2A6734CD"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0DAF7BCF" w14:textId="77777777" w:rsidTr="006B2233">
        <w:trPr>
          <w:trHeight w:val="340"/>
        </w:trPr>
        <w:tc>
          <w:tcPr>
            <w:tcW w:w="4860" w:type="dxa"/>
          </w:tcPr>
          <w:p w14:paraId="35A95EEA"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 xml:space="preserve">Compensation </w:t>
            </w:r>
            <w:r>
              <w:rPr>
                <w:rFonts w:asciiTheme="minorHAnsi" w:hAnsiTheme="minorHAnsi" w:cstheme="minorHAnsi"/>
                <w:sz w:val="20"/>
                <w:szCs w:val="20"/>
              </w:rPr>
              <w:t xml:space="preserve">(salary) </w:t>
            </w:r>
            <w:r w:rsidRPr="007D0177">
              <w:rPr>
                <w:rFonts w:asciiTheme="minorHAnsi" w:hAnsiTheme="minorHAnsi" w:cstheme="minorHAnsi"/>
                <w:sz w:val="20"/>
                <w:szCs w:val="20"/>
              </w:rPr>
              <w:t xml:space="preserve">costs of employees whose </w:t>
            </w:r>
            <w:proofErr w:type="spellStart"/>
            <w:r w:rsidRPr="007D0177">
              <w:rPr>
                <w:rFonts w:asciiTheme="minorHAnsi" w:hAnsiTheme="minorHAnsi" w:cstheme="minorHAnsi"/>
                <w:sz w:val="20"/>
                <w:szCs w:val="20"/>
              </w:rPr>
              <w:t>servicesare</w:t>
            </w:r>
            <w:proofErr w:type="spellEnd"/>
            <w:r w:rsidRPr="007D0177">
              <w:rPr>
                <w:rFonts w:asciiTheme="minorHAnsi" w:hAnsiTheme="minorHAnsi" w:cstheme="minorHAnsi"/>
                <w:sz w:val="20"/>
                <w:szCs w:val="20"/>
              </w:rPr>
              <w:t xml:space="preserve"> used in the construction</w:t>
            </w:r>
          </w:p>
        </w:tc>
        <w:tc>
          <w:tcPr>
            <w:tcW w:w="1080" w:type="dxa"/>
            <w:vAlign w:val="center"/>
          </w:tcPr>
          <w:p w14:paraId="3DAB041C"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64C97C7D"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20B9AAD8"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0DDBD55F"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5955A21"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163A7B17" w14:textId="77777777" w:rsidTr="006B2233">
        <w:trPr>
          <w:trHeight w:val="160"/>
        </w:trPr>
        <w:tc>
          <w:tcPr>
            <w:tcW w:w="4860" w:type="dxa"/>
          </w:tcPr>
          <w:p w14:paraId="202D632E"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Construction supervision fees</w:t>
            </w:r>
          </w:p>
        </w:tc>
        <w:tc>
          <w:tcPr>
            <w:tcW w:w="1080" w:type="dxa"/>
            <w:vAlign w:val="center"/>
          </w:tcPr>
          <w:p w14:paraId="0842B148"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0197DB45"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39C39DD0"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208A13CD"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C26593D"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026CA59F" w14:textId="77777777" w:rsidTr="006B2233">
        <w:trPr>
          <w:trHeight w:val="160"/>
        </w:trPr>
        <w:tc>
          <w:tcPr>
            <w:tcW w:w="4860" w:type="dxa"/>
          </w:tcPr>
          <w:p w14:paraId="5C90D3A2"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Dedication expenses</w:t>
            </w:r>
          </w:p>
        </w:tc>
        <w:tc>
          <w:tcPr>
            <w:tcW w:w="1080" w:type="dxa"/>
            <w:vAlign w:val="center"/>
          </w:tcPr>
          <w:p w14:paraId="3B13C31F"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00314ADE"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7E11C883"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0B464DB2"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231F4A28"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73D0B872" w14:textId="77777777" w:rsidTr="006B2233">
        <w:trPr>
          <w:trHeight w:val="500"/>
        </w:trPr>
        <w:tc>
          <w:tcPr>
            <w:tcW w:w="4860" w:type="dxa"/>
          </w:tcPr>
          <w:p w14:paraId="1D1A6402" w14:textId="77777777" w:rsidR="00D3782C" w:rsidRPr="007D0177" w:rsidRDefault="00D3782C" w:rsidP="00FD12A1">
            <w:pPr>
              <w:pStyle w:val="TableParagraph"/>
              <w:ind w:left="17" w:right="65"/>
              <w:rPr>
                <w:rFonts w:asciiTheme="minorHAnsi" w:hAnsiTheme="minorHAnsi" w:cstheme="minorHAnsi"/>
                <w:sz w:val="20"/>
                <w:szCs w:val="20"/>
              </w:rPr>
            </w:pPr>
            <w:r w:rsidRPr="007D0177">
              <w:rPr>
                <w:rFonts w:asciiTheme="minorHAnsi" w:hAnsiTheme="minorHAnsi" w:cstheme="minorHAnsi"/>
                <w:sz w:val="20"/>
                <w:szCs w:val="20"/>
              </w:rPr>
              <w:t>Demolition/removal of old buildings or structures where building construction was not anticipated at the</w:t>
            </w:r>
          </w:p>
          <w:p w14:paraId="187B70C1"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time of land acquisition</w:t>
            </w:r>
          </w:p>
        </w:tc>
        <w:tc>
          <w:tcPr>
            <w:tcW w:w="1080" w:type="dxa"/>
            <w:vAlign w:val="center"/>
          </w:tcPr>
          <w:p w14:paraId="52A1664B"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14DE1E58"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283EDA4E"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0E49AEFE"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3BCAF2C8"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28EDDF16" w14:textId="77777777" w:rsidTr="006B2233">
        <w:trPr>
          <w:trHeight w:val="500"/>
        </w:trPr>
        <w:tc>
          <w:tcPr>
            <w:tcW w:w="4860" w:type="dxa"/>
          </w:tcPr>
          <w:p w14:paraId="2940ECCB" w14:textId="77777777" w:rsidR="00D3782C" w:rsidRPr="007D0177" w:rsidRDefault="00D3782C" w:rsidP="00FD12A1">
            <w:pPr>
              <w:pStyle w:val="TableParagraph"/>
              <w:ind w:left="17" w:right="131"/>
              <w:rPr>
                <w:rFonts w:asciiTheme="minorHAnsi" w:hAnsiTheme="minorHAnsi" w:cstheme="minorHAnsi"/>
                <w:sz w:val="20"/>
                <w:szCs w:val="20"/>
              </w:rPr>
            </w:pPr>
            <w:r w:rsidRPr="007D0177">
              <w:rPr>
                <w:rFonts w:asciiTheme="minorHAnsi" w:hAnsiTheme="minorHAnsi" w:cstheme="minorHAnsi"/>
                <w:sz w:val="20"/>
                <w:szCs w:val="20"/>
              </w:rPr>
              <w:t xml:space="preserve">Demolition/removal of old buildings or structures where </w:t>
            </w:r>
            <w:proofErr w:type="gramStart"/>
            <w:r w:rsidRPr="007D0177">
              <w:rPr>
                <w:rFonts w:asciiTheme="minorHAnsi" w:hAnsiTheme="minorHAnsi" w:cstheme="minorHAnsi"/>
                <w:sz w:val="20"/>
                <w:szCs w:val="20"/>
              </w:rPr>
              <w:t>site was</w:t>
            </w:r>
            <w:proofErr w:type="gramEnd"/>
            <w:r w:rsidRPr="007D0177">
              <w:rPr>
                <w:rFonts w:asciiTheme="minorHAnsi" w:hAnsiTheme="minorHAnsi" w:cstheme="minorHAnsi"/>
                <w:sz w:val="20"/>
                <w:szCs w:val="20"/>
              </w:rPr>
              <w:t xml:space="preserve"> purchased with the intent of</w:t>
            </w:r>
          </w:p>
          <w:p w14:paraId="3AC8F97E"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constructing a new building</w:t>
            </w:r>
          </w:p>
        </w:tc>
        <w:tc>
          <w:tcPr>
            <w:tcW w:w="1080" w:type="dxa"/>
            <w:vAlign w:val="center"/>
          </w:tcPr>
          <w:p w14:paraId="4B183722"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900" w:type="dxa"/>
            <w:vAlign w:val="center"/>
          </w:tcPr>
          <w:p w14:paraId="7B07DD74"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77C79DA1"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3FF7184F"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056C5B0E"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3F61AFCF" w14:textId="77777777" w:rsidTr="006B2233">
        <w:trPr>
          <w:trHeight w:val="160"/>
        </w:trPr>
        <w:tc>
          <w:tcPr>
            <w:tcW w:w="4860" w:type="dxa"/>
          </w:tcPr>
          <w:p w14:paraId="48940EE8"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Design costs</w:t>
            </w:r>
          </w:p>
        </w:tc>
        <w:tc>
          <w:tcPr>
            <w:tcW w:w="1080" w:type="dxa"/>
            <w:vAlign w:val="center"/>
          </w:tcPr>
          <w:p w14:paraId="730CB1CB"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490DBEF1"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2F6309AE"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057721CB"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6582A75"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52547A10" w14:textId="77777777" w:rsidTr="006B2233">
        <w:trPr>
          <w:trHeight w:val="160"/>
        </w:trPr>
        <w:tc>
          <w:tcPr>
            <w:tcW w:w="4860" w:type="dxa"/>
          </w:tcPr>
          <w:p w14:paraId="21A261DB"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Easements or rights-of-way access</w:t>
            </w:r>
          </w:p>
        </w:tc>
        <w:tc>
          <w:tcPr>
            <w:tcW w:w="1080" w:type="dxa"/>
            <w:vAlign w:val="center"/>
          </w:tcPr>
          <w:p w14:paraId="6D90D73D"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689E2057"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154B9A13"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10629708"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3148D65D"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6B341E19" w14:textId="77777777" w:rsidTr="006B2233">
        <w:trPr>
          <w:trHeight w:val="160"/>
        </w:trPr>
        <w:tc>
          <w:tcPr>
            <w:tcW w:w="4860" w:type="dxa"/>
          </w:tcPr>
          <w:p w14:paraId="0DDB8E35"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Engineering fees</w:t>
            </w:r>
          </w:p>
        </w:tc>
        <w:tc>
          <w:tcPr>
            <w:tcW w:w="1080" w:type="dxa"/>
            <w:vAlign w:val="center"/>
          </w:tcPr>
          <w:p w14:paraId="3AEB4B4A"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6FB42D06"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6E302288"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47A9B637"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54C02ABB"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4D388C63" w14:textId="77777777" w:rsidTr="006B2233">
        <w:trPr>
          <w:trHeight w:val="340"/>
        </w:trPr>
        <w:tc>
          <w:tcPr>
            <w:tcW w:w="4860" w:type="dxa"/>
          </w:tcPr>
          <w:p w14:paraId="4973A0F0"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Environmental clean-up costs, where the asset has</w:t>
            </w:r>
          </w:p>
          <w:p w14:paraId="73F1FAC4"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been in use for some time</w:t>
            </w:r>
          </w:p>
        </w:tc>
        <w:tc>
          <w:tcPr>
            <w:tcW w:w="1080" w:type="dxa"/>
            <w:vAlign w:val="center"/>
          </w:tcPr>
          <w:p w14:paraId="252E1A68"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74B7BC27"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47BA2319"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4AE14488"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3F0EF610" w14:textId="77777777" w:rsidR="00D3782C" w:rsidRPr="007D0177" w:rsidRDefault="00D3782C" w:rsidP="00FD12A1">
            <w:pPr>
              <w:pStyle w:val="TableParagraph"/>
              <w:jc w:val="center"/>
              <w:rPr>
                <w:rFonts w:asciiTheme="minorHAnsi" w:hAnsiTheme="minorHAnsi" w:cstheme="minorHAnsi"/>
                <w:sz w:val="20"/>
                <w:szCs w:val="20"/>
              </w:rPr>
            </w:pPr>
          </w:p>
          <w:p w14:paraId="3C02A9CA"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538D3DB3" w14:textId="77777777" w:rsidTr="006B2233">
        <w:trPr>
          <w:trHeight w:val="180"/>
        </w:trPr>
        <w:tc>
          <w:tcPr>
            <w:tcW w:w="4860" w:type="dxa"/>
          </w:tcPr>
          <w:p w14:paraId="0D6EA249"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Environmental clean-up costs, at time of acquisition</w:t>
            </w:r>
          </w:p>
        </w:tc>
        <w:tc>
          <w:tcPr>
            <w:tcW w:w="1080" w:type="dxa"/>
            <w:vAlign w:val="center"/>
          </w:tcPr>
          <w:p w14:paraId="685488B5"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900" w:type="dxa"/>
            <w:vAlign w:val="center"/>
          </w:tcPr>
          <w:p w14:paraId="0E0D7ED1"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36C6E374"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0710B694"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273912A6"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1B6B066E" w14:textId="77777777" w:rsidTr="006B2233">
        <w:trPr>
          <w:trHeight w:val="160"/>
        </w:trPr>
        <w:tc>
          <w:tcPr>
            <w:tcW w:w="4860" w:type="dxa"/>
          </w:tcPr>
          <w:p w14:paraId="6C84DC3C"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Feasibility studies that lead to construction</w:t>
            </w:r>
          </w:p>
        </w:tc>
        <w:tc>
          <w:tcPr>
            <w:tcW w:w="1080" w:type="dxa"/>
            <w:vAlign w:val="center"/>
          </w:tcPr>
          <w:p w14:paraId="4001CC54"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200886F6"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022E5A0C"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47412732"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298982C8"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791DAE0D" w14:textId="77777777" w:rsidTr="006B2233">
        <w:trPr>
          <w:trHeight w:val="160"/>
        </w:trPr>
        <w:tc>
          <w:tcPr>
            <w:tcW w:w="4860" w:type="dxa"/>
          </w:tcPr>
          <w:p w14:paraId="73E26048"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Fences (new or replacement)</w:t>
            </w:r>
          </w:p>
        </w:tc>
        <w:tc>
          <w:tcPr>
            <w:tcW w:w="1080" w:type="dxa"/>
            <w:vAlign w:val="center"/>
          </w:tcPr>
          <w:p w14:paraId="4E949E72"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368F51A8"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333C767E"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319A9F29"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13D8A424"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5C75ADC8" w14:textId="77777777" w:rsidTr="006B2233">
        <w:trPr>
          <w:trHeight w:val="160"/>
        </w:trPr>
        <w:tc>
          <w:tcPr>
            <w:tcW w:w="4860" w:type="dxa"/>
          </w:tcPr>
          <w:p w14:paraId="02AB12AD"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Fixed (NOT moveable) equipment and furnishings</w:t>
            </w:r>
          </w:p>
        </w:tc>
        <w:tc>
          <w:tcPr>
            <w:tcW w:w="1080" w:type="dxa"/>
            <w:vAlign w:val="center"/>
          </w:tcPr>
          <w:p w14:paraId="77F82453"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05968E2D"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7BD90EDD"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511C2F2B"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14A5A44"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0BEF442C" w14:textId="77777777" w:rsidTr="006B2233">
        <w:trPr>
          <w:trHeight w:val="160"/>
        </w:trPr>
        <w:tc>
          <w:tcPr>
            <w:tcW w:w="4860" w:type="dxa"/>
          </w:tcPr>
          <w:p w14:paraId="2998ABA6"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HVAC</w:t>
            </w:r>
          </w:p>
        </w:tc>
        <w:tc>
          <w:tcPr>
            <w:tcW w:w="1080" w:type="dxa"/>
            <w:vAlign w:val="center"/>
          </w:tcPr>
          <w:p w14:paraId="60FDB88C"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009DCA60"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40696D7D"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279A191F"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5DC28EDB"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1944B1AB" w14:textId="77777777" w:rsidTr="006B2233">
        <w:trPr>
          <w:trHeight w:val="160"/>
        </w:trPr>
        <w:tc>
          <w:tcPr>
            <w:tcW w:w="4860" w:type="dxa"/>
          </w:tcPr>
          <w:p w14:paraId="751712F0"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Infrastructure fee</w:t>
            </w:r>
          </w:p>
        </w:tc>
        <w:tc>
          <w:tcPr>
            <w:tcW w:w="1080" w:type="dxa"/>
            <w:vAlign w:val="center"/>
          </w:tcPr>
          <w:p w14:paraId="113E81EB"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260ACA3F"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06FD9D5F"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4A8AE7C1"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DE9B154"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2C96423D" w14:textId="77777777" w:rsidTr="006B2233">
        <w:trPr>
          <w:trHeight w:val="160"/>
        </w:trPr>
        <w:tc>
          <w:tcPr>
            <w:tcW w:w="4860" w:type="dxa"/>
          </w:tcPr>
          <w:p w14:paraId="7B60B1E7"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Insurance costs during construction period</w:t>
            </w:r>
          </w:p>
        </w:tc>
        <w:tc>
          <w:tcPr>
            <w:tcW w:w="1080" w:type="dxa"/>
            <w:vAlign w:val="center"/>
          </w:tcPr>
          <w:p w14:paraId="4795E161"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5BF426D2"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4082254C"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5BDDBABC"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451AE3D"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11F0C8CC" w14:textId="77777777" w:rsidTr="006B2233">
        <w:trPr>
          <w:trHeight w:val="160"/>
        </w:trPr>
        <w:tc>
          <w:tcPr>
            <w:tcW w:w="4860" w:type="dxa"/>
          </w:tcPr>
          <w:p w14:paraId="1B77DD1A"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lastRenderedPageBreak/>
              <w:t>Insurance costs NOT during construction period</w:t>
            </w:r>
          </w:p>
        </w:tc>
        <w:tc>
          <w:tcPr>
            <w:tcW w:w="1080" w:type="dxa"/>
            <w:vAlign w:val="center"/>
          </w:tcPr>
          <w:p w14:paraId="6069F819"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5C5FC620"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61409ACE"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067FC13B"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E24B997"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26DF9EC3" w14:textId="77777777" w:rsidTr="006B2233">
        <w:trPr>
          <w:trHeight w:val="160"/>
        </w:trPr>
        <w:tc>
          <w:tcPr>
            <w:tcW w:w="4860" w:type="dxa"/>
          </w:tcPr>
          <w:p w14:paraId="5D540629"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Interest expense during construction period</w:t>
            </w:r>
          </w:p>
        </w:tc>
        <w:tc>
          <w:tcPr>
            <w:tcW w:w="1080" w:type="dxa"/>
            <w:vAlign w:val="center"/>
          </w:tcPr>
          <w:p w14:paraId="7B7D3ABE"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0E4381CA"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4ED6D21D"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22477110"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170" w:type="dxa"/>
            <w:tcBorders>
              <w:left w:val="double" w:sz="2" w:space="0" w:color="000000"/>
            </w:tcBorders>
            <w:vAlign w:val="center"/>
          </w:tcPr>
          <w:p w14:paraId="29C93414"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365973C4" w14:textId="77777777" w:rsidTr="006B2233">
        <w:trPr>
          <w:trHeight w:val="160"/>
        </w:trPr>
        <w:tc>
          <w:tcPr>
            <w:tcW w:w="4860" w:type="dxa"/>
          </w:tcPr>
          <w:p w14:paraId="6BDA5ADB"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Interest expense NOT during construction period</w:t>
            </w:r>
          </w:p>
        </w:tc>
        <w:tc>
          <w:tcPr>
            <w:tcW w:w="1080" w:type="dxa"/>
            <w:vAlign w:val="center"/>
          </w:tcPr>
          <w:p w14:paraId="32DC705B"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4DCF2302"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1E7ED64D"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02F001E5"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C857154"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1C0F5811" w14:textId="77777777" w:rsidTr="006B2233">
        <w:trPr>
          <w:trHeight w:val="160"/>
        </w:trPr>
        <w:tc>
          <w:tcPr>
            <w:tcW w:w="4860" w:type="dxa"/>
          </w:tcPr>
          <w:p w14:paraId="20BB054A"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Land development fees</w:t>
            </w:r>
          </w:p>
        </w:tc>
        <w:tc>
          <w:tcPr>
            <w:tcW w:w="1080" w:type="dxa"/>
            <w:vAlign w:val="center"/>
          </w:tcPr>
          <w:p w14:paraId="41C6AE9E"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900" w:type="dxa"/>
            <w:vAlign w:val="center"/>
          </w:tcPr>
          <w:p w14:paraId="7E25A8DA"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05CBC203"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74DEA8A8"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1CF91E62"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40FD70AB" w14:textId="77777777" w:rsidTr="006B2233">
        <w:trPr>
          <w:trHeight w:val="160"/>
        </w:trPr>
        <w:tc>
          <w:tcPr>
            <w:tcW w:w="4860" w:type="dxa"/>
          </w:tcPr>
          <w:p w14:paraId="13B23C13"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Landscaping</w:t>
            </w:r>
          </w:p>
        </w:tc>
        <w:tc>
          <w:tcPr>
            <w:tcW w:w="1080" w:type="dxa"/>
            <w:vAlign w:val="center"/>
          </w:tcPr>
          <w:p w14:paraId="37B76BB6"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900" w:type="dxa"/>
            <w:vAlign w:val="center"/>
          </w:tcPr>
          <w:p w14:paraId="12ABF18C"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695E45D3"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60A991CF"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44B8A17"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2BC0EFF9" w14:textId="77777777" w:rsidTr="006B2233">
        <w:trPr>
          <w:trHeight w:val="160"/>
        </w:trPr>
        <w:tc>
          <w:tcPr>
            <w:tcW w:w="4860" w:type="dxa"/>
          </w:tcPr>
          <w:p w14:paraId="55D82191"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Legal + consulting fees related to the construction</w:t>
            </w:r>
          </w:p>
        </w:tc>
        <w:tc>
          <w:tcPr>
            <w:tcW w:w="1080" w:type="dxa"/>
            <w:vAlign w:val="center"/>
          </w:tcPr>
          <w:p w14:paraId="5F8CA286"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3143C945"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108D26B3"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12125136"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3C23039"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74C20ABF" w14:textId="77777777" w:rsidTr="006B2233">
        <w:trPr>
          <w:trHeight w:val="160"/>
        </w:trPr>
        <w:tc>
          <w:tcPr>
            <w:tcW w:w="4860" w:type="dxa"/>
          </w:tcPr>
          <w:p w14:paraId="23C2E133"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 xml:space="preserve">Litigation </w:t>
            </w:r>
            <w:r>
              <w:rPr>
                <w:rFonts w:asciiTheme="minorHAnsi" w:hAnsiTheme="minorHAnsi" w:cstheme="minorHAnsi"/>
                <w:sz w:val="20"/>
                <w:szCs w:val="20"/>
              </w:rPr>
              <w:t>–</w:t>
            </w:r>
            <w:r w:rsidRPr="007D0177">
              <w:rPr>
                <w:rFonts w:asciiTheme="minorHAnsi" w:hAnsiTheme="minorHAnsi" w:cstheme="minorHAnsi"/>
                <w:sz w:val="20"/>
                <w:szCs w:val="20"/>
              </w:rPr>
              <w:t xml:space="preserve"> claims against subcontractor</w:t>
            </w:r>
          </w:p>
        </w:tc>
        <w:tc>
          <w:tcPr>
            <w:tcW w:w="1080" w:type="dxa"/>
            <w:vAlign w:val="center"/>
          </w:tcPr>
          <w:p w14:paraId="06462EC8"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4D7D6C8C"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5FBA120C"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00533260"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12C04274"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6196CDB5" w14:textId="77777777" w:rsidTr="006B2233">
        <w:trPr>
          <w:trHeight w:val="160"/>
        </w:trPr>
        <w:tc>
          <w:tcPr>
            <w:tcW w:w="4860" w:type="dxa"/>
          </w:tcPr>
          <w:p w14:paraId="532328D8"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Lost rental revenue</w:t>
            </w:r>
          </w:p>
        </w:tc>
        <w:tc>
          <w:tcPr>
            <w:tcW w:w="1080" w:type="dxa"/>
            <w:vAlign w:val="center"/>
          </w:tcPr>
          <w:p w14:paraId="06E2C242"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44432502"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5EEF9F0F"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29B5DA6B"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088F7CA"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18BC5F98" w14:textId="77777777" w:rsidTr="006B2233">
        <w:trPr>
          <w:trHeight w:val="305"/>
        </w:trPr>
        <w:tc>
          <w:tcPr>
            <w:tcW w:w="4860" w:type="dxa"/>
          </w:tcPr>
          <w:p w14:paraId="715E83F9" w14:textId="77777777" w:rsidR="00D3782C" w:rsidRPr="007D0177" w:rsidRDefault="00D3782C" w:rsidP="00FD12A1">
            <w:pPr>
              <w:pStyle w:val="TableParagraph"/>
              <w:ind w:left="17" w:right="131"/>
              <w:rPr>
                <w:rFonts w:asciiTheme="minorHAnsi" w:hAnsiTheme="minorHAnsi" w:cstheme="minorHAnsi"/>
                <w:sz w:val="20"/>
                <w:szCs w:val="20"/>
              </w:rPr>
            </w:pPr>
            <w:r w:rsidRPr="007D0177">
              <w:rPr>
                <w:rFonts w:asciiTheme="minorHAnsi" w:hAnsiTheme="minorHAnsi" w:cstheme="minorHAnsi"/>
                <w:sz w:val="20"/>
                <w:szCs w:val="20"/>
              </w:rPr>
              <w:t xml:space="preserve">Maintenance and repair (e.g., custodial services, fixing a leaky faucet, replacement of minor parts, replacing a </w:t>
            </w:r>
            <w:proofErr w:type="gramStart"/>
            <w:r w:rsidRPr="007D0177">
              <w:rPr>
                <w:rFonts w:asciiTheme="minorHAnsi" w:hAnsiTheme="minorHAnsi" w:cstheme="minorHAnsi"/>
                <w:sz w:val="20"/>
                <w:szCs w:val="20"/>
              </w:rPr>
              <w:t>worn out</w:t>
            </w:r>
            <w:proofErr w:type="gramEnd"/>
            <w:r w:rsidRPr="007D0177">
              <w:rPr>
                <w:rFonts w:asciiTheme="minorHAnsi" w:hAnsiTheme="minorHAnsi" w:cstheme="minorHAnsi"/>
                <w:sz w:val="20"/>
                <w:szCs w:val="20"/>
              </w:rPr>
              <w:t xml:space="preserve"> rug, etc.)</w:t>
            </w:r>
          </w:p>
        </w:tc>
        <w:tc>
          <w:tcPr>
            <w:tcW w:w="1080" w:type="dxa"/>
            <w:vAlign w:val="center"/>
          </w:tcPr>
          <w:p w14:paraId="51F9E4E3"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7ACEB4FF"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6702A75A"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6BDB0654"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C8EAE2A"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282FB62E" w14:textId="77777777" w:rsidTr="006B2233">
        <w:trPr>
          <w:trHeight w:val="320"/>
        </w:trPr>
        <w:tc>
          <w:tcPr>
            <w:tcW w:w="4860" w:type="dxa"/>
          </w:tcPr>
          <w:p w14:paraId="0DAC17FF"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Maintenance of existing sidewalks, fences or</w:t>
            </w:r>
          </w:p>
          <w:p w14:paraId="1E2159F2"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pavement</w:t>
            </w:r>
          </w:p>
        </w:tc>
        <w:tc>
          <w:tcPr>
            <w:tcW w:w="1080" w:type="dxa"/>
            <w:vAlign w:val="center"/>
          </w:tcPr>
          <w:p w14:paraId="00845742"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7014373F"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52985589"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3916527E"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286790EE"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0BDB700B" w14:textId="77777777" w:rsidTr="006B2233">
        <w:trPr>
          <w:trHeight w:val="160"/>
        </w:trPr>
        <w:tc>
          <w:tcPr>
            <w:tcW w:w="4860" w:type="dxa"/>
          </w:tcPr>
          <w:p w14:paraId="496CD3A2"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Materials related directly to construction</w:t>
            </w:r>
          </w:p>
        </w:tc>
        <w:tc>
          <w:tcPr>
            <w:tcW w:w="1080" w:type="dxa"/>
            <w:vAlign w:val="center"/>
          </w:tcPr>
          <w:p w14:paraId="6EFFCE48"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66999797"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2D596A60"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5A52BBA4"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170" w:type="dxa"/>
            <w:tcBorders>
              <w:left w:val="double" w:sz="2" w:space="0" w:color="000000"/>
            </w:tcBorders>
            <w:vAlign w:val="center"/>
          </w:tcPr>
          <w:p w14:paraId="32F56975"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363F1B39" w14:textId="77777777" w:rsidTr="006B2233">
        <w:trPr>
          <w:trHeight w:val="160"/>
        </w:trPr>
        <w:tc>
          <w:tcPr>
            <w:tcW w:w="4860" w:type="dxa"/>
          </w:tcPr>
          <w:p w14:paraId="7C6614DC"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Mitigation costs</w:t>
            </w:r>
          </w:p>
        </w:tc>
        <w:tc>
          <w:tcPr>
            <w:tcW w:w="1080" w:type="dxa"/>
            <w:vAlign w:val="center"/>
          </w:tcPr>
          <w:p w14:paraId="733B24F8"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3F063169"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6BA25199"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4D214D39"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119C5A41"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55E3B45B" w14:textId="77777777" w:rsidTr="006B2233">
        <w:trPr>
          <w:trHeight w:val="320"/>
        </w:trPr>
        <w:tc>
          <w:tcPr>
            <w:tcW w:w="4860" w:type="dxa"/>
          </w:tcPr>
          <w:p w14:paraId="2E04289C"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Moving and relocation: moving people, equipment or</w:t>
            </w:r>
          </w:p>
          <w:p w14:paraId="7096A669"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utilities/infrastructure in or out of building</w:t>
            </w:r>
          </w:p>
        </w:tc>
        <w:tc>
          <w:tcPr>
            <w:tcW w:w="1080" w:type="dxa"/>
            <w:vAlign w:val="center"/>
          </w:tcPr>
          <w:p w14:paraId="5E7AFDC2"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2F65DFCF"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7247C3FD"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4636BF2A"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3D508AA5"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048CF947" w14:textId="77777777" w:rsidTr="006B2233">
        <w:trPr>
          <w:trHeight w:val="160"/>
        </w:trPr>
        <w:tc>
          <w:tcPr>
            <w:tcW w:w="4860" w:type="dxa"/>
          </w:tcPr>
          <w:p w14:paraId="1B8AEDCA"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North Yard fee</w:t>
            </w:r>
          </w:p>
        </w:tc>
        <w:tc>
          <w:tcPr>
            <w:tcW w:w="1080" w:type="dxa"/>
            <w:vAlign w:val="center"/>
          </w:tcPr>
          <w:p w14:paraId="3BD112FC"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5ED214A7"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3C6F32F8"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110327F1"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12005D8"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4EC6C457" w14:textId="77777777" w:rsidTr="006B2233">
        <w:trPr>
          <w:trHeight w:val="160"/>
        </w:trPr>
        <w:tc>
          <w:tcPr>
            <w:tcW w:w="4860" w:type="dxa"/>
          </w:tcPr>
          <w:p w14:paraId="2F43C90C"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Overhead attributable to the project</w:t>
            </w:r>
          </w:p>
        </w:tc>
        <w:tc>
          <w:tcPr>
            <w:tcW w:w="1080" w:type="dxa"/>
            <w:vAlign w:val="center"/>
          </w:tcPr>
          <w:p w14:paraId="5684AA4C"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3A8616C0"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4523A83B"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03F9A92B"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1BDB7FE9"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47F8A1A4" w14:textId="77777777" w:rsidTr="006B2233">
        <w:trPr>
          <w:trHeight w:val="160"/>
        </w:trPr>
        <w:tc>
          <w:tcPr>
            <w:tcW w:w="4860" w:type="dxa"/>
          </w:tcPr>
          <w:p w14:paraId="3A672E60"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Pavements (new or replacement)</w:t>
            </w:r>
          </w:p>
        </w:tc>
        <w:tc>
          <w:tcPr>
            <w:tcW w:w="1080" w:type="dxa"/>
            <w:vAlign w:val="center"/>
          </w:tcPr>
          <w:p w14:paraId="236ADA84"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554DB1EC"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20AF9EE0"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0C6EBFAF"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0FBC5AEB"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6B2CFD06" w14:textId="77777777" w:rsidTr="006B2233">
        <w:trPr>
          <w:trHeight w:val="160"/>
        </w:trPr>
        <w:tc>
          <w:tcPr>
            <w:tcW w:w="4860" w:type="dxa"/>
          </w:tcPr>
          <w:p w14:paraId="285DFA3B"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Professional fees directly related to construction</w:t>
            </w:r>
          </w:p>
        </w:tc>
        <w:tc>
          <w:tcPr>
            <w:tcW w:w="1080" w:type="dxa"/>
            <w:vAlign w:val="center"/>
          </w:tcPr>
          <w:p w14:paraId="38556142"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3E80E0D1"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713D8279" w14:textId="77777777" w:rsidR="00D3782C" w:rsidRPr="007D0177" w:rsidRDefault="00D3782C" w:rsidP="00FD12A1">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5FC33FE9"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077B378"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3D7405DC" w14:textId="77777777" w:rsidTr="006B2233">
        <w:trPr>
          <w:trHeight w:val="340"/>
        </w:trPr>
        <w:tc>
          <w:tcPr>
            <w:tcW w:w="4860" w:type="dxa"/>
          </w:tcPr>
          <w:p w14:paraId="37F3C7BD" w14:textId="77777777" w:rsidR="00D3782C" w:rsidRPr="007D0177" w:rsidRDefault="00D3782C" w:rsidP="00FD12A1">
            <w:pPr>
              <w:pStyle w:val="TableParagraph"/>
              <w:rPr>
                <w:rFonts w:asciiTheme="minorHAnsi" w:hAnsiTheme="minorHAnsi" w:cstheme="minorHAnsi"/>
                <w:sz w:val="20"/>
                <w:szCs w:val="20"/>
              </w:rPr>
            </w:pPr>
            <w:r w:rsidRPr="007D0177">
              <w:rPr>
                <w:rFonts w:asciiTheme="minorHAnsi" w:hAnsiTheme="minorHAnsi" w:cstheme="minorHAnsi"/>
                <w:sz w:val="20"/>
                <w:szCs w:val="20"/>
              </w:rPr>
              <w:t>Redecorating (e.g., repainting or wallpapering, installing wall-to-wall carpeting)</w:t>
            </w:r>
          </w:p>
        </w:tc>
        <w:tc>
          <w:tcPr>
            <w:tcW w:w="1080" w:type="dxa"/>
            <w:vAlign w:val="center"/>
          </w:tcPr>
          <w:p w14:paraId="1E42818B"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787069D7"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0B994DBA"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13478C59"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170" w:type="dxa"/>
            <w:tcBorders>
              <w:left w:val="double" w:sz="2" w:space="0" w:color="000000"/>
            </w:tcBorders>
            <w:vAlign w:val="center"/>
          </w:tcPr>
          <w:p w14:paraId="3ADFF984"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5C28086F" w14:textId="77777777" w:rsidTr="006B2233">
        <w:trPr>
          <w:trHeight w:val="340"/>
        </w:trPr>
        <w:tc>
          <w:tcPr>
            <w:tcW w:w="4860" w:type="dxa"/>
          </w:tcPr>
          <w:p w14:paraId="271198A6" w14:textId="77777777" w:rsidR="00D3782C" w:rsidRPr="007D0177" w:rsidRDefault="00D3782C" w:rsidP="00FD12A1">
            <w:pPr>
              <w:pStyle w:val="TableParagraph"/>
              <w:rPr>
                <w:rFonts w:asciiTheme="minorHAnsi" w:hAnsiTheme="minorHAnsi" w:cstheme="minorHAnsi"/>
                <w:sz w:val="20"/>
                <w:szCs w:val="20"/>
              </w:rPr>
            </w:pPr>
            <w:r w:rsidRPr="007D0177">
              <w:rPr>
                <w:rFonts w:asciiTheme="minorHAnsi" w:hAnsiTheme="minorHAnsi" w:cstheme="minorHAnsi"/>
                <w:sz w:val="20"/>
                <w:szCs w:val="20"/>
              </w:rPr>
              <w:t xml:space="preserve">Renovations </w:t>
            </w:r>
            <w:r>
              <w:rPr>
                <w:rFonts w:asciiTheme="minorHAnsi" w:hAnsiTheme="minorHAnsi" w:cstheme="minorHAnsi"/>
                <w:sz w:val="20"/>
                <w:szCs w:val="20"/>
              </w:rPr>
              <w:t>–</w:t>
            </w:r>
            <w:r w:rsidRPr="007D0177">
              <w:rPr>
                <w:rFonts w:asciiTheme="minorHAnsi" w:hAnsiTheme="minorHAnsi" w:cstheme="minorHAnsi"/>
                <w:sz w:val="20"/>
                <w:szCs w:val="20"/>
              </w:rPr>
              <w:t xml:space="preserve"> the total or partial upgrading of a  facility to higher standard of quality or efficiency than originally existed (e.g., conforming building to municipal code or government regulations; new/better outdoor lighting to conform to safety regulations, transitioning old classroom into one with state-of-the- art lighting and computer hook-ups,</w:t>
            </w:r>
            <w:r w:rsidRPr="007D0177">
              <w:rPr>
                <w:rFonts w:asciiTheme="minorHAnsi" w:hAnsiTheme="minorHAnsi" w:cstheme="minorHAnsi"/>
                <w:spacing w:val="2"/>
                <w:sz w:val="20"/>
                <w:szCs w:val="20"/>
              </w:rPr>
              <w:t xml:space="preserve"> </w:t>
            </w:r>
            <w:r w:rsidRPr="007D0177">
              <w:rPr>
                <w:rFonts w:asciiTheme="minorHAnsi" w:hAnsiTheme="minorHAnsi" w:cstheme="minorHAnsi"/>
                <w:sz w:val="20"/>
                <w:szCs w:val="20"/>
              </w:rPr>
              <w:t>etc.)</w:t>
            </w:r>
          </w:p>
        </w:tc>
        <w:tc>
          <w:tcPr>
            <w:tcW w:w="1080" w:type="dxa"/>
            <w:vAlign w:val="center"/>
          </w:tcPr>
          <w:p w14:paraId="6919D5F8"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1F3277BE"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493" w:type="dxa"/>
            <w:vAlign w:val="center"/>
          </w:tcPr>
          <w:p w14:paraId="6E287608"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21451216"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71D38F29"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048731D7" w14:textId="77777777" w:rsidTr="006B2233">
        <w:trPr>
          <w:trHeight w:val="340"/>
        </w:trPr>
        <w:tc>
          <w:tcPr>
            <w:tcW w:w="4860" w:type="dxa"/>
          </w:tcPr>
          <w:p w14:paraId="06D883F0" w14:textId="77777777" w:rsidR="00D3782C" w:rsidRPr="007D0177" w:rsidRDefault="00D3782C" w:rsidP="00FD12A1">
            <w:pPr>
              <w:pStyle w:val="TableParagraph"/>
              <w:rPr>
                <w:rFonts w:asciiTheme="minorHAnsi" w:hAnsiTheme="minorHAnsi" w:cstheme="minorHAnsi"/>
                <w:sz w:val="20"/>
                <w:szCs w:val="20"/>
              </w:rPr>
            </w:pPr>
            <w:r w:rsidRPr="007D0177">
              <w:rPr>
                <w:rFonts w:asciiTheme="minorHAnsi" w:hAnsiTheme="minorHAnsi" w:cstheme="minorHAnsi"/>
                <w:sz w:val="20"/>
                <w:szCs w:val="20"/>
              </w:rPr>
              <w:t xml:space="preserve">Rent for swing space </w:t>
            </w:r>
            <w:r>
              <w:rPr>
                <w:rFonts w:asciiTheme="minorHAnsi" w:hAnsiTheme="minorHAnsi" w:cstheme="minorHAnsi"/>
                <w:sz w:val="20"/>
                <w:szCs w:val="20"/>
              </w:rPr>
              <w:t>–</w:t>
            </w:r>
            <w:r w:rsidRPr="007D0177">
              <w:rPr>
                <w:rFonts w:asciiTheme="minorHAnsi" w:hAnsiTheme="minorHAnsi" w:cstheme="minorHAnsi"/>
                <w:sz w:val="20"/>
                <w:szCs w:val="20"/>
              </w:rPr>
              <w:t xml:space="preserve"> rental expense for additional space due to construction displacement</w:t>
            </w:r>
          </w:p>
        </w:tc>
        <w:tc>
          <w:tcPr>
            <w:tcW w:w="1080" w:type="dxa"/>
            <w:vAlign w:val="center"/>
          </w:tcPr>
          <w:p w14:paraId="3B4A3A19"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29A3957E"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03AAD666"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4BEFAF71"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52A5838"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r>
      <w:tr w:rsidR="00D3782C" w:rsidRPr="007D0177" w14:paraId="0FB2F2B9" w14:textId="77777777" w:rsidTr="006B2233">
        <w:trPr>
          <w:trHeight w:val="340"/>
        </w:trPr>
        <w:tc>
          <w:tcPr>
            <w:tcW w:w="4860" w:type="dxa"/>
          </w:tcPr>
          <w:p w14:paraId="518FC23F" w14:textId="77777777" w:rsidR="00D3782C" w:rsidRPr="007D0177" w:rsidRDefault="00D3782C" w:rsidP="00FD12A1">
            <w:pPr>
              <w:pStyle w:val="TableParagraph"/>
              <w:rPr>
                <w:rFonts w:asciiTheme="minorHAnsi" w:hAnsiTheme="minorHAnsi" w:cstheme="minorHAnsi"/>
                <w:sz w:val="20"/>
                <w:szCs w:val="20"/>
              </w:rPr>
            </w:pPr>
            <w:r w:rsidRPr="007D0177">
              <w:rPr>
                <w:rFonts w:asciiTheme="minorHAnsi" w:hAnsiTheme="minorHAnsi" w:cstheme="minorHAnsi"/>
                <w:sz w:val="20"/>
                <w:szCs w:val="20"/>
              </w:rPr>
              <w:t xml:space="preserve">Rent credits </w:t>
            </w:r>
            <w:r>
              <w:rPr>
                <w:rFonts w:asciiTheme="minorHAnsi" w:hAnsiTheme="minorHAnsi" w:cstheme="minorHAnsi"/>
                <w:sz w:val="20"/>
                <w:szCs w:val="20"/>
              </w:rPr>
              <w:t>–</w:t>
            </w:r>
            <w:r w:rsidRPr="007D0177">
              <w:rPr>
                <w:rFonts w:asciiTheme="minorHAnsi" w:hAnsiTheme="minorHAnsi" w:cstheme="minorHAnsi"/>
                <w:sz w:val="20"/>
                <w:szCs w:val="20"/>
              </w:rPr>
              <w:t xml:space="preserve"> reduction in the rent charged to tenants as construction mitigation, typically a reduction in rent revenue</w:t>
            </w:r>
          </w:p>
        </w:tc>
        <w:tc>
          <w:tcPr>
            <w:tcW w:w="1080" w:type="dxa"/>
            <w:vAlign w:val="center"/>
          </w:tcPr>
          <w:p w14:paraId="131BCD1F"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2C98D6C2" w14:textId="77777777" w:rsidR="00D3782C" w:rsidRPr="007D0177" w:rsidRDefault="00D3782C" w:rsidP="00FD12A1">
            <w:pPr>
              <w:pStyle w:val="TableParagraph"/>
              <w:jc w:val="center"/>
              <w:rPr>
                <w:rFonts w:asciiTheme="minorHAnsi" w:hAnsiTheme="minorHAnsi" w:cstheme="minorHAnsi"/>
                <w:sz w:val="20"/>
                <w:szCs w:val="20"/>
              </w:rPr>
            </w:pPr>
          </w:p>
        </w:tc>
        <w:tc>
          <w:tcPr>
            <w:tcW w:w="1493" w:type="dxa"/>
            <w:vAlign w:val="center"/>
          </w:tcPr>
          <w:p w14:paraId="7E73A8AA"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361A79F2"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30C4F9E1"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r>
      <w:tr w:rsidR="00D3782C" w:rsidRPr="007D0177" w14:paraId="1F001D2B" w14:textId="77777777" w:rsidTr="006B2233">
        <w:trPr>
          <w:trHeight w:val="340"/>
        </w:trPr>
        <w:tc>
          <w:tcPr>
            <w:tcW w:w="4860" w:type="dxa"/>
          </w:tcPr>
          <w:p w14:paraId="5F166FB5" w14:textId="77777777" w:rsidR="00D3782C" w:rsidRPr="007D0177" w:rsidRDefault="00D3782C" w:rsidP="00FD12A1">
            <w:pPr>
              <w:pStyle w:val="TableParagraph"/>
              <w:rPr>
                <w:rFonts w:asciiTheme="minorHAnsi" w:hAnsiTheme="minorHAnsi" w:cstheme="minorHAnsi"/>
                <w:sz w:val="20"/>
                <w:szCs w:val="20"/>
              </w:rPr>
            </w:pPr>
            <w:r w:rsidRPr="007D0177">
              <w:rPr>
                <w:rFonts w:asciiTheme="minorHAnsi" w:hAnsiTheme="minorHAnsi" w:cstheme="minorHAnsi"/>
                <w:sz w:val="20"/>
                <w:szCs w:val="20"/>
              </w:rPr>
              <w:t xml:space="preserve">Replacements, renewals, betterments </w:t>
            </w:r>
            <w:r>
              <w:rPr>
                <w:rFonts w:asciiTheme="minorHAnsi" w:hAnsiTheme="minorHAnsi" w:cstheme="minorHAnsi"/>
                <w:sz w:val="20"/>
                <w:szCs w:val="20"/>
              </w:rPr>
              <w:t>–</w:t>
            </w:r>
            <w:r w:rsidRPr="007D0177">
              <w:rPr>
                <w:rFonts w:asciiTheme="minorHAnsi" w:hAnsiTheme="minorHAnsi" w:cstheme="minorHAnsi"/>
                <w:sz w:val="20"/>
                <w:szCs w:val="20"/>
              </w:rPr>
              <w:t xml:space="preserve"> overhaul or replacement of major constituent parts that have not been maintained and have deteriorated to the point that now requires a major overhaul (e.g., installing a new floor; resurfacing an entire roof; replacing electrical, plumbing, heating or air conditioning systems; replacing </w:t>
            </w:r>
            <w:r w:rsidRPr="007D0177">
              <w:rPr>
                <w:rFonts w:asciiTheme="minorHAnsi" w:hAnsiTheme="minorHAnsi" w:cstheme="minorHAnsi"/>
                <w:sz w:val="20"/>
                <w:szCs w:val="20"/>
              </w:rPr>
              <w:lastRenderedPageBreak/>
              <w:t>in ground lighting; replacing a deteriorated wall, etc.)</w:t>
            </w:r>
          </w:p>
        </w:tc>
        <w:tc>
          <w:tcPr>
            <w:tcW w:w="1080" w:type="dxa"/>
            <w:vAlign w:val="center"/>
          </w:tcPr>
          <w:p w14:paraId="7AC85E0C"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73CCF6C1"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493" w:type="dxa"/>
            <w:vAlign w:val="center"/>
          </w:tcPr>
          <w:p w14:paraId="192348D2"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79AD59C2"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0A594D88"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5CB7DB42" w14:textId="77777777" w:rsidTr="006B2233">
        <w:trPr>
          <w:trHeight w:val="340"/>
        </w:trPr>
        <w:tc>
          <w:tcPr>
            <w:tcW w:w="4860" w:type="dxa"/>
          </w:tcPr>
          <w:p w14:paraId="626BCE64" w14:textId="77777777" w:rsidR="00D3782C" w:rsidRPr="007D0177" w:rsidRDefault="00D3782C" w:rsidP="00FD12A1">
            <w:pPr>
              <w:pStyle w:val="TableParagraph"/>
              <w:rPr>
                <w:rFonts w:asciiTheme="minorHAnsi" w:hAnsiTheme="minorHAnsi" w:cstheme="minorHAnsi"/>
                <w:sz w:val="20"/>
                <w:szCs w:val="20"/>
              </w:rPr>
            </w:pPr>
            <w:r w:rsidRPr="007D0177">
              <w:rPr>
                <w:rFonts w:asciiTheme="minorHAnsi" w:hAnsiTheme="minorHAnsi" w:cstheme="minorHAnsi"/>
                <w:sz w:val="20"/>
                <w:szCs w:val="20"/>
              </w:rPr>
              <w:t>Sidewalks (new or replacement)</w:t>
            </w:r>
          </w:p>
        </w:tc>
        <w:tc>
          <w:tcPr>
            <w:tcW w:w="1080" w:type="dxa"/>
            <w:vAlign w:val="center"/>
          </w:tcPr>
          <w:p w14:paraId="5CD9AF03"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261BFA61"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493" w:type="dxa"/>
            <w:vAlign w:val="center"/>
          </w:tcPr>
          <w:p w14:paraId="1A61317C"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1DB41826"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210F22D4"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69837C03" w14:textId="77777777" w:rsidTr="006B2233">
        <w:trPr>
          <w:trHeight w:val="340"/>
        </w:trPr>
        <w:tc>
          <w:tcPr>
            <w:tcW w:w="4860" w:type="dxa"/>
          </w:tcPr>
          <w:p w14:paraId="14634E51"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Soil refinement where soil was contaminated at</w:t>
            </w:r>
          </w:p>
          <w:p w14:paraId="40C03D03" w14:textId="77777777" w:rsidR="00D3782C" w:rsidRPr="007D0177" w:rsidRDefault="00D3782C" w:rsidP="00FD12A1">
            <w:pPr>
              <w:pStyle w:val="TableParagraph"/>
              <w:rPr>
                <w:rFonts w:asciiTheme="minorHAnsi" w:hAnsiTheme="minorHAnsi" w:cstheme="minorHAnsi"/>
                <w:sz w:val="20"/>
                <w:szCs w:val="20"/>
              </w:rPr>
            </w:pPr>
            <w:r w:rsidRPr="007D0177">
              <w:rPr>
                <w:rFonts w:asciiTheme="minorHAnsi" w:hAnsiTheme="minorHAnsi" w:cstheme="minorHAnsi"/>
                <w:sz w:val="20"/>
                <w:szCs w:val="20"/>
              </w:rPr>
              <w:t>acquisition</w:t>
            </w:r>
          </w:p>
        </w:tc>
        <w:tc>
          <w:tcPr>
            <w:tcW w:w="1080" w:type="dxa"/>
            <w:vAlign w:val="center"/>
          </w:tcPr>
          <w:p w14:paraId="29F16FC9"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900" w:type="dxa"/>
            <w:vAlign w:val="center"/>
          </w:tcPr>
          <w:p w14:paraId="2E5A47BD"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493" w:type="dxa"/>
            <w:vAlign w:val="center"/>
          </w:tcPr>
          <w:p w14:paraId="587EEFB5"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18BEC8A0"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A235BBE"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348495BE" w14:textId="77777777" w:rsidTr="006B2233">
        <w:trPr>
          <w:trHeight w:val="340"/>
        </w:trPr>
        <w:tc>
          <w:tcPr>
            <w:tcW w:w="4860" w:type="dxa"/>
          </w:tcPr>
          <w:p w14:paraId="74395FD2"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Soil refinement where soil was NOT contaminated at</w:t>
            </w:r>
          </w:p>
          <w:p w14:paraId="581DE83C"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acquisition</w:t>
            </w:r>
          </w:p>
        </w:tc>
        <w:tc>
          <w:tcPr>
            <w:tcW w:w="1080" w:type="dxa"/>
            <w:vAlign w:val="center"/>
          </w:tcPr>
          <w:p w14:paraId="0E6323D6"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0C627AA6"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493" w:type="dxa"/>
            <w:vAlign w:val="center"/>
          </w:tcPr>
          <w:p w14:paraId="3907E4BB"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7EDEBD23"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20AD470"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r>
      <w:tr w:rsidR="00D3782C" w:rsidRPr="007D0177" w14:paraId="4E9F549D" w14:textId="77777777" w:rsidTr="006B2233">
        <w:trPr>
          <w:trHeight w:val="340"/>
        </w:trPr>
        <w:tc>
          <w:tcPr>
            <w:tcW w:w="4860" w:type="dxa"/>
          </w:tcPr>
          <w:p w14:paraId="5D7177AF"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Special assessments directly related to the property</w:t>
            </w:r>
          </w:p>
          <w:p w14:paraId="6509505C"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and mandated by local governing bodies</w:t>
            </w:r>
          </w:p>
        </w:tc>
        <w:tc>
          <w:tcPr>
            <w:tcW w:w="1080" w:type="dxa"/>
            <w:vAlign w:val="center"/>
          </w:tcPr>
          <w:p w14:paraId="315CC6D2"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900" w:type="dxa"/>
            <w:vAlign w:val="center"/>
          </w:tcPr>
          <w:p w14:paraId="4F442142"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493" w:type="dxa"/>
            <w:vAlign w:val="center"/>
          </w:tcPr>
          <w:p w14:paraId="03BCB8F2"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7A0FD8D4"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CFE30B4"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77BDE62A" w14:textId="77777777" w:rsidTr="006B2233">
        <w:trPr>
          <w:trHeight w:val="340"/>
        </w:trPr>
        <w:tc>
          <w:tcPr>
            <w:tcW w:w="4860" w:type="dxa"/>
          </w:tcPr>
          <w:p w14:paraId="517DE21A"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Surveys</w:t>
            </w:r>
          </w:p>
        </w:tc>
        <w:tc>
          <w:tcPr>
            <w:tcW w:w="1080" w:type="dxa"/>
            <w:vAlign w:val="center"/>
          </w:tcPr>
          <w:p w14:paraId="6557DBD4"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769952CB" w14:textId="77777777" w:rsidR="00D3782C" w:rsidRPr="007D0177" w:rsidRDefault="00D3782C" w:rsidP="00FD12A1">
            <w:pPr>
              <w:pStyle w:val="TableParagraph"/>
              <w:jc w:val="center"/>
              <w:rPr>
                <w:rFonts w:asciiTheme="minorHAnsi" w:hAnsiTheme="minorHAnsi" w:cstheme="minorHAnsi"/>
                <w:b/>
                <w:w w:val="101"/>
                <w:sz w:val="20"/>
                <w:szCs w:val="20"/>
              </w:rPr>
            </w:pPr>
            <w:r w:rsidRPr="007D0177">
              <w:rPr>
                <w:rFonts w:asciiTheme="minorHAnsi" w:hAnsiTheme="minorHAnsi" w:cstheme="minorHAnsi"/>
                <w:b/>
                <w:w w:val="101"/>
                <w:sz w:val="20"/>
                <w:szCs w:val="20"/>
              </w:rPr>
              <w:t>X</w:t>
            </w:r>
          </w:p>
        </w:tc>
        <w:tc>
          <w:tcPr>
            <w:tcW w:w="1493" w:type="dxa"/>
            <w:vAlign w:val="center"/>
          </w:tcPr>
          <w:p w14:paraId="730A1C78"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65F328FE"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3C788CCA"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6EBDD398" w14:textId="77777777" w:rsidTr="006B2233">
        <w:trPr>
          <w:trHeight w:val="340"/>
        </w:trPr>
        <w:tc>
          <w:tcPr>
            <w:tcW w:w="4860" w:type="dxa"/>
          </w:tcPr>
          <w:p w14:paraId="4B33CFB8" w14:textId="77777777" w:rsidR="00D3782C" w:rsidRPr="007D0177" w:rsidRDefault="00D3782C" w:rsidP="00FD12A1">
            <w:pPr>
              <w:pStyle w:val="TableParagraph"/>
              <w:ind w:left="17"/>
              <w:rPr>
                <w:rFonts w:asciiTheme="minorHAnsi" w:hAnsiTheme="minorHAnsi" w:cstheme="minorHAnsi"/>
                <w:sz w:val="20"/>
                <w:szCs w:val="20"/>
              </w:rPr>
            </w:pPr>
            <w:proofErr w:type="spellStart"/>
            <w:r w:rsidRPr="007D0177">
              <w:rPr>
                <w:rFonts w:asciiTheme="minorHAnsi" w:hAnsiTheme="minorHAnsi" w:cstheme="minorHAnsi"/>
                <w:sz w:val="20"/>
                <w:szCs w:val="20"/>
              </w:rPr>
              <w:t>Teledata</w:t>
            </w:r>
            <w:proofErr w:type="spellEnd"/>
            <w:r w:rsidRPr="007D0177">
              <w:rPr>
                <w:rFonts w:asciiTheme="minorHAnsi" w:hAnsiTheme="minorHAnsi" w:cstheme="minorHAnsi"/>
                <w:sz w:val="20"/>
                <w:szCs w:val="20"/>
              </w:rPr>
              <w:t xml:space="preserve"> closet (i.e., an area that houses data lines, switching equipment, etc.)</w:t>
            </w:r>
          </w:p>
        </w:tc>
        <w:tc>
          <w:tcPr>
            <w:tcW w:w="1080" w:type="dxa"/>
            <w:vAlign w:val="center"/>
          </w:tcPr>
          <w:p w14:paraId="1DB4A66E"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3661829C"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493" w:type="dxa"/>
            <w:vAlign w:val="center"/>
          </w:tcPr>
          <w:p w14:paraId="55DC5A6F" w14:textId="77777777" w:rsidR="00D3782C" w:rsidRPr="007D0177" w:rsidRDefault="00D3782C" w:rsidP="00FD12A1">
            <w:pPr>
              <w:pStyle w:val="TableParagraph"/>
              <w:jc w:val="center"/>
              <w:rPr>
                <w:rFonts w:asciiTheme="minorHAnsi" w:hAnsiTheme="minorHAnsi" w:cstheme="minorHAnsi"/>
                <w:b/>
                <w:w w:val="101"/>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01864445" w14:textId="77777777" w:rsidR="00D3782C" w:rsidRPr="007D0177" w:rsidRDefault="00D3782C" w:rsidP="00FD12A1">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16F5CCC8"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192D0B93" w14:textId="77777777" w:rsidTr="006B2233">
        <w:trPr>
          <w:trHeight w:val="340"/>
        </w:trPr>
        <w:tc>
          <w:tcPr>
            <w:tcW w:w="4860" w:type="dxa"/>
          </w:tcPr>
          <w:p w14:paraId="036B69BE" w14:textId="77777777" w:rsidR="00D3782C" w:rsidRPr="007D0177" w:rsidRDefault="00D3782C" w:rsidP="00FD12A1">
            <w:pPr>
              <w:pStyle w:val="TableParagraph"/>
              <w:ind w:left="17"/>
              <w:rPr>
                <w:rFonts w:asciiTheme="minorHAnsi" w:hAnsiTheme="minorHAnsi" w:cstheme="minorHAnsi"/>
                <w:sz w:val="20"/>
                <w:szCs w:val="20"/>
              </w:rPr>
            </w:pPr>
            <w:proofErr w:type="spellStart"/>
            <w:r w:rsidRPr="007D0177">
              <w:rPr>
                <w:rFonts w:asciiTheme="minorHAnsi" w:hAnsiTheme="minorHAnsi" w:cstheme="minorHAnsi"/>
                <w:sz w:val="20"/>
                <w:szCs w:val="20"/>
              </w:rPr>
              <w:t>Teledata</w:t>
            </w:r>
            <w:proofErr w:type="spellEnd"/>
            <w:r w:rsidRPr="007D0177">
              <w:rPr>
                <w:rFonts w:asciiTheme="minorHAnsi" w:hAnsiTheme="minorHAnsi" w:cstheme="minorHAnsi"/>
                <w:sz w:val="20"/>
                <w:szCs w:val="20"/>
              </w:rPr>
              <w:t xml:space="preserve"> equipment</w:t>
            </w:r>
          </w:p>
        </w:tc>
        <w:tc>
          <w:tcPr>
            <w:tcW w:w="1080" w:type="dxa"/>
            <w:vAlign w:val="center"/>
          </w:tcPr>
          <w:p w14:paraId="4AC44F1A"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681B714F"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493" w:type="dxa"/>
            <w:vAlign w:val="center"/>
          </w:tcPr>
          <w:p w14:paraId="7FD6CDDE" w14:textId="77777777" w:rsidR="00D3782C" w:rsidRPr="007D0177" w:rsidRDefault="00D3782C" w:rsidP="00FD12A1">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6EA4CC9C"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170" w:type="dxa"/>
            <w:tcBorders>
              <w:left w:val="double" w:sz="2" w:space="0" w:color="000000"/>
            </w:tcBorders>
            <w:vAlign w:val="center"/>
          </w:tcPr>
          <w:p w14:paraId="434A6C64"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04FE35F2" w14:textId="77777777" w:rsidTr="006B2233">
        <w:trPr>
          <w:trHeight w:val="340"/>
        </w:trPr>
        <w:tc>
          <w:tcPr>
            <w:tcW w:w="4860" w:type="dxa"/>
          </w:tcPr>
          <w:p w14:paraId="7021D8AC"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Temporary structures (e.g., ramps, loading docks, etc.) necessary for construction</w:t>
            </w:r>
          </w:p>
        </w:tc>
        <w:tc>
          <w:tcPr>
            <w:tcW w:w="1080" w:type="dxa"/>
            <w:vAlign w:val="center"/>
          </w:tcPr>
          <w:p w14:paraId="5D822941"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65759CAB" w14:textId="77777777" w:rsidR="00D3782C" w:rsidRPr="007D0177" w:rsidRDefault="00D3782C" w:rsidP="00FD12A1">
            <w:pPr>
              <w:pStyle w:val="TableParagraph"/>
              <w:jc w:val="center"/>
              <w:rPr>
                <w:rFonts w:asciiTheme="minorHAnsi" w:hAnsiTheme="minorHAnsi" w:cstheme="minorHAnsi"/>
                <w:b/>
                <w:w w:val="101"/>
                <w:sz w:val="20"/>
                <w:szCs w:val="20"/>
              </w:rPr>
            </w:pPr>
            <w:r w:rsidRPr="007D0177">
              <w:rPr>
                <w:rFonts w:asciiTheme="minorHAnsi" w:hAnsiTheme="minorHAnsi" w:cstheme="minorHAnsi"/>
                <w:b/>
                <w:w w:val="101"/>
                <w:sz w:val="20"/>
                <w:szCs w:val="20"/>
              </w:rPr>
              <w:t>X</w:t>
            </w:r>
          </w:p>
        </w:tc>
        <w:tc>
          <w:tcPr>
            <w:tcW w:w="1493" w:type="dxa"/>
            <w:vAlign w:val="center"/>
          </w:tcPr>
          <w:p w14:paraId="6C084833"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14C6C4F1"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170" w:type="dxa"/>
            <w:tcBorders>
              <w:left w:val="double" w:sz="2" w:space="0" w:color="000000"/>
            </w:tcBorders>
            <w:vAlign w:val="center"/>
          </w:tcPr>
          <w:p w14:paraId="287E0122"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5F1A2857" w14:textId="77777777" w:rsidTr="006B2233">
        <w:trPr>
          <w:trHeight w:val="340"/>
        </w:trPr>
        <w:tc>
          <w:tcPr>
            <w:tcW w:w="4860" w:type="dxa"/>
          </w:tcPr>
          <w:p w14:paraId="2768280F"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 xml:space="preserve">Test </w:t>
            </w:r>
            <w:proofErr w:type="gramStart"/>
            <w:r w:rsidRPr="007D0177">
              <w:rPr>
                <w:rFonts w:asciiTheme="minorHAnsi" w:hAnsiTheme="minorHAnsi" w:cstheme="minorHAnsi"/>
                <w:sz w:val="20"/>
                <w:szCs w:val="20"/>
              </w:rPr>
              <w:t>borings</w:t>
            </w:r>
            <w:proofErr w:type="gramEnd"/>
            <w:r w:rsidRPr="007D0177">
              <w:rPr>
                <w:rFonts w:asciiTheme="minorHAnsi" w:hAnsiTheme="minorHAnsi" w:cstheme="minorHAnsi"/>
                <w:sz w:val="20"/>
                <w:szCs w:val="20"/>
              </w:rPr>
              <w:t xml:space="preserve"> (soil and land assessments)</w:t>
            </w:r>
          </w:p>
        </w:tc>
        <w:tc>
          <w:tcPr>
            <w:tcW w:w="1080" w:type="dxa"/>
            <w:vAlign w:val="center"/>
          </w:tcPr>
          <w:p w14:paraId="61D58231" w14:textId="77777777" w:rsidR="00D3782C" w:rsidRPr="007D0177" w:rsidRDefault="00D3782C" w:rsidP="00FD12A1">
            <w:pPr>
              <w:pStyle w:val="TableParagraph"/>
              <w:jc w:val="center"/>
              <w:rPr>
                <w:rFonts w:asciiTheme="minorHAnsi" w:hAnsiTheme="minorHAnsi" w:cstheme="minorHAnsi"/>
                <w:sz w:val="20"/>
                <w:szCs w:val="20"/>
              </w:rPr>
            </w:pPr>
          </w:p>
        </w:tc>
        <w:tc>
          <w:tcPr>
            <w:tcW w:w="900" w:type="dxa"/>
            <w:vAlign w:val="center"/>
          </w:tcPr>
          <w:p w14:paraId="56F07B39"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493" w:type="dxa"/>
            <w:vAlign w:val="center"/>
          </w:tcPr>
          <w:p w14:paraId="62B42959"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34A32DE6"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170" w:type="dxa"/>
            <w:tcBorders>
              <w:left w:val="double" w:sz="2" w:space="0" w:color="000000"/>
            </w:tcBorders>
            <w:vAlign w:val="center"/>
          </w:tcPr>
          <w:p w14:paraId="73249FFA"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00A02034" w14:textId="77777777" w:rsidTr="006B2233">
        <w:trPr>
          <w:trHeight w:val="340"/>
        </w:trPr>
        <w:tc>
          <w:tcPr>
            <w:tcW w:w="4860" w:type="dxa"/>
          </w:tcPr>
          <w:p w14:paraId="098A6873"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Transportation Access Plan Agreement payments</w:t>
            </w:r>
          </w:p>
        </w:tc>
        <w:tc>
          <w:tcPr>
            <w:tcW w:w="1080" w:type="dxa"/>
            <w:vAlign w:val="center"/>
          </w:tcPr>
          <w:p w14:paraId="1DD5CB43"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900" w:type="dxa"/>
            <w:vAlign w:val="center"/>
          </w:tcPr>
          <w:p w14:paraId="2DE387C2"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493" w:type="dxa"/>
            <w:vAlign w:val="center"/>
          </w:tcPr>
          <w:p w14:paraId="0CDBDCB8"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387" w:type="dxa"/>
            <w:tcBorders>
              <w:right w:val="double" w:sz="2" w:space="0" w:color="000000"/>
            </w:tcBorders>
            <w:vAlign w:val="center"/>
          </w:tcPr>
          <w:p w14:paraId="69AF3E02"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170" w:type="dxa"/>
            <w:tcBorders>
              <w:left w:val="double" w:sz="2" w:space="0" w:color="000000"/>
            </w:tcBorders>
            <w:vAlign w:val="center"/>
          </w:tcPr>
          <w:p w14:paraId="02EAB14A"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0695F34C" w14:textId="77777777" w:rsidTr="006B2233">
        <w:trPr>
          <w:trHeight w:val="340"/>
        </w:trPr>
        <w:tc>
          <w:tcPr>
            <w:tcW w:w="4860" w:type="dxa"/>
          </w:tcPr>
          <w:p w14:paraId="1A0026D7"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Utility fees during the construction period</w:t>
            </w:r>
          </w:p>
        </w:tc>
        <w:tc>
          <w:tcPr>
            <w:tcW w:w="1080" w:type="dxa"/>
            <w:vAlign w:val="center"/>
          </w:tcPr>
          <w:p w14:paraId="12DEB635"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900" w:type="dxa"/>
            <w:vAlign w:val="center"/>
          </w:tcPr>
          <w:p w14:paraId="0500C723"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493" w:type="dxa"/>
            <w:vAlign w:val="center"/>
          </w:tcPr>
          <w:p w14:paraId="09E43203" w14:textId="77777777" w:rsidR="00D3782C" w:rsidRPr="007D0177" w:rsidRDefault="00D3782C" w:rsidP="00FD12A1">
            <w:pPr>
              <w:pStyle w:val="TableParagraph"/>
              <w:jc w:val="center"/>
              <w:rPr>
                <w:rFonts w:asciiTheme="minorHAnsi" w:hAnsiTheme="minorHAnsi" w:cstheme="minorHAnsi"/>
                <w:b/>
                <w:w w:val="101"/>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125F4DC7"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170" w:type="dxa"/>
            <w:tcBorders>
              <w:left w:val="double" w:sz="2" w:space="0" w:color="000000"/>
            </w:tcBorders>
            <w:vAlign w:val="center"/>
          </w:tcPr>
          <w:p w14:paraId="6D37892A" w14:textId="77777777" w:rsidR="00D3782C" w:rsidRPr="007D0177" w:rsidRDefault="00D3782C" w:rsidP="00FD12A1">
            <w:pPr>
              <w:pStyle w:val="TableParagraph"/>
              <w:jc w:val="center"/>
              <w:rPr>
                <w:rFonts w:asciiTheme="minorHAnsi" w:hAnsiTheme="minorHAnsi" w:cstheme="minorHAnsi"/>
                <w:sz w:val="20"/>
                <w:szCs w:val="20"/>
              </w:rPr>
            </w:pPr>
          </w:p>
        </w:tc>
      </w:tr>
      <w:tr w:rsidR="00D3782C" w:rsidRPr="007D0177" w14:paraId="6C9832F5" w14:textId="77777777" w:rsidTr="006B2233">
        <w:trPr>
          <w:trHeight w:val="340"/>
        </w:trPr>
        <w:tc>
          <w:tcPr>
            <w:tcW w:w="4860" w:type="dxa"/>
          </w:tcPr>
          <w:p w14:paraId="41A36AF9" w14:textId="77777777" w:rsidR="00D3782C" w:rsidRPr="007D0177" w:rsidRDefault="00D3782C" w:rsidP="00FD12A1">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Utility fees NOT during the construction period</w:t>
            </w:r>
          </w:p>
        </w:tc>
        <w:tc>
          <w:tcPr>
            <w:tcW w:w="1080" w:type="dxa"/>
            <w:vAlign w:val="center"/>
          </w:tcPr>
          <w:p w14:paraId="354BAD6C"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900" w:type="dxa"/>
            <w:vAlign w:val="center"/>
          </w:tcPr>
          <w:p w14:paraId="3348CF58"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493" w:type="dxa"/>
            <w:vAlign w:val="center"/>
          </w:tcPr>
          <w:p w14:paraId="0B4724E9"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387" w:type="dxa"/>
            <w:tcBorders>
              <w:right w:val="double" w:sz="2" w:space="0" w:color="000000"/>
            </w:tcBorders>
            <w:vAlign w:val="center"/>
          </w:tcPr>
          <w:p w14:paraId="435FAC20" w14:textId="77777777" w:rsidR="00D3782C" w:rsidRPr="007D0177" w:rsidRDefault="00D3782C" w:rsidP="00FD12A1">
            <w:pPr>
              <w:pStyle w:val="TableParagraph"/>
              <w:jc w:val="center"/>
              <w:rPr>
                <w:rFonts w:asciiTheme="minorHAnsi" w:hAnsiTheme="minorHAnsi" w:cstheme="minorHAnsi"/>
                <w:b/>
                <w:w w:val="101"/>
                <w:sz w:val="20"/>
                <w:szCs w:val="20"/>
              </w:rPr>
            </w:pPr>
          </w:p>
        </w:tc>
        <w:tc>
          <w:tcPr>
            <w:tcW w:w="1170" w:type="dxa"/>
            <w:tcBorders>
              <w:left w:val="double" w:sz="2" w:space="0" w:color="000000"/>
            </w:tcBorders>
            <w:vAlign w:val="center"/>
          </w:tcPr>
          <w:p w14:paraId="485B2B48" w14:textId="77777777" w:rsidR="00D3782C" w:rsidRPr="007D0177" w:rsidRDefault="00D3782C" w:rsidP="00FD12A1">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r>
    </w:tbl>
    <w:p w14:paraId="25E7DDFC" w14:textId="77777777" w:rsidR="00D3782C" w:rsidRDefault="00D3782C" w:rsidP="00D3782C"/>
    <w:p w14:paraId="4B3BE57D" w14:textId="77777777" w:rsidR="00D3782C" w:rsidRDefault="00D3782C" w:rsidP="00D3782C">
      <w:r w:rsidRPr="00E02736">
        <w:t>*</w:t>
      </w:r>
      <w:r>
        <w:t xml:space="preserve"> Capitalizing total project or fixed equipment costs of $100,000 or more and less than $300,000 is </w:t>
      </w:r>
      <w:proofErr w:type="gramStart"/>
      <w:r>
        <w:t>allowable, but</w:t>
      </w:r>
      <w:proofErr w:type="gramEnd"/>
      <w:r>
        <w:t xml:space="preserve"> not required.</w:t>
      </w:r>
    </w:p>
    <w:p w14:paraId="7818003D" w14:textId="04F39FBE" w:rsidR="005E60F8" w:rsidRPr="003B4189" w:rsidRDefault="005E60F8" w:rsidP="00D3782C">
      <w:r>
        <w:t xml:space="preserve">** Capitalization threshold is $10,000 per unit UNLESS purchased on sponsored </w:t>
      </w:r>
      <w:r w:rsidR="00B5547E" w:rsidRPr="00564D75">
        <w:t xml:space="preserve">award </w:t>
      </w:r>
      <w:r w:rsidR="00B5547E">
        <w:t xml:space="preserve">with a </w:t>
      </w:r>
      <w:r w:rsidR="00B5547E" w:rsidRPr="00564D75">
        <w:t xml:space="preserve">start date </w:t>
      </w:r>
      <w:r w:rsidR="00B5547E" w:rsidRPr="00564D75">
        <w:rPr>
          <w:b/>
          <w:bCs/>
        </w:rPr>
        <w:t>before 07/01/25</w:t>
      </w:r>
      <w:r w:rsidR="00D902E7">
        <w:rPr>
          <w:b/>
          <w:bCs/>
        </w:rPr>
        <w:t xml:space="preserve"> </w:t>
      </w:r>
      <w:r>
        <w:t>in which case the threshold MUST be $5,000 per unit.</w:t>
      </w:r>
    </w:p>
    <w:sectPr w:rsidR="005E60F8" w:rsidRPr="003B4189" w:rsidSect="00515C4A">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547"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98E2" w14:textId="77777777" w:rsidR="006213D8" w:rsidRDefault="006213D8">
      <w:pPr>
        <w:spacing w:after="0" w:line="240" w:lineRule="auto"/>
      </w:pPr>
      <w:r>
        <w:separator/>
      </w:r>
    </w:p>
  </w:endnote>
  <w:endnote w:type="continuationSeparator" w:id="0">
    <w:p w14:paraId="61C307A7" w14:textId="77777777" w:rsidR="006213D8" w:rsidRDefault="0062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16E0" w14:textId="77777777" w:rsidR="00515C4A" w:rsidRDefault="00515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406192"/>
      <w:docPartObj>
        <w:docPartGallery w:val="Page Numbers (Bottom of Page)"/>
        <w:docPartUnique/>
      </w:docPartObj>
    </w:sdtPr>
    <w:sdtEndPr/>
    <w:sdtContent>
      <w:sdt>
        <w:sdtPr>
          <w:id w:val="689650172"/>
          <w:docPartObj>
            <w:docPartGallery w:val="Page Numbers (Top of Page)"/>
            <w:docPartUnique/>
          </w:docPartObj>
        </w:sdtPr>
        <w:sdtEndPr/>
        <w:sdtContent>
          <w:p w14:paraId="50821CDB" w14:textId="6B68E9D9" w:rsidR="00515C4A" w:rsidRDefault="00515C4A" w:rsidP="00515C4A">
            <w:pPr>
              <w:pStyle w:val="Footer"/>
              <w:tabs>
                <w:tab w:val="clear" w:pos="4680"/>
                <w:tab w:val="center" w:pos="2610"/>
              </w:tabs>
              <w:spacing w:after="0" w:line="240" w:lineRule="auto"/>
              <w:jc w:val="center"/>
            </w:pPr>
            <w:r w:rsidRPr="003734D4">
              <w:rPr>
                <w:rFonts w:ascii="Arial" w:hAnsi="Arial" w:cs="Arial"/>
                <w:sz w:val="20"/>
                <w:szCs w:val="20"/>
              </w:rPr>
              <w:t xml:space="preserve">Page </w:t>
            </w:r>
            <w:r w:rsidRPr="003734D4">
              <w:rPr>
                <w:rFonts w:ascii="Arial" w:hAnsi="Arial" w:cs="Arial"/>
                <w:sz w:val="20"/>
                <w:szCs w:val="20"/>
              </w:rPr>
              <w:fldChar w:fldCharType="begin"/>
            </w:r>
            <w:r w:rsidRPr="003734D4">
              <w:rPr>
                <w:rFonts w:ascii="Arial" w:hAnsi="Arial" w:cs="Arial"/>
                <w:sz w:val="20"/>
                <w:szCs w:val="20"/>
              </w:rPr>
              <w:instrText xml:space="preserve"> PAGE </w:instrText>
            </w:r>
            <w:r w:rsidRPr="003734D4">
              <w:rPr>
                <w:rFonts w:ascii="Arial" w:hAnsi="Arial" w:cs="Arial"/>
                <w:sz w:val="20"/>
                <w:szCs w:val="20"/>
              </w:rPr>
              <w:fldChar w:fldCharType="separate"/>
            </w:r>
            <w:r>
              <w:rPr>
                <w:rFonts w:ascii="Arial" w:hAnsi="Arial" w:cs="Arial"/>
                <w:sz w:val="20"/>
                <w:szCs w:val="20"/>
              </w:rPr>
              <w:t>1</w:t>
            </w:r>
            <w:r w:rsidRPr="003734D4">
              <w:rPr>
                <w:rFonts w:ascii="Arial" w:hAnsi="Arial" w:cs="Arial"/>
                <w:sz w:val="20"/>
                <w:szCs w:val="20"/>
              </w:rPr>
              <w:fldChar w:fldCharType="end"/>
            </w:r>
            <w:r w:rsidRPr="003734D4">
              <w:rPr>
                <w:rFonts w:ascii="Arial" w:hAnsi="Arial" w:cs="Arial"/>
                <w:sz w:val="20"/>
                <w:szCs w:val="20"/>
              </w:rPr>
              <w:t xml:space="preserve"> of </w:t>
            </w:r>
            <w:r w:rsidRPr="003734D4">
              <w:rPr>
                <w:rFonts w:ascii="Arial" w:hAnsi="Arial" w:cs="Arial"/>
                <w:sz w:val="20"/>
                <w:szCs w:val="20"/>
              </w:rPr>
              <w:fldChar w:fldCharType="begin"/>
            </w:r>
            <w:r w:rsidRPr="003734D4">
              <w:rPr>
                <w:rFonts w:ascii="Arial" w:hAnsi="Arial" w:cs="Arial"/>
                <w:sz w:val="20"/>
                <w:szCs w:val="20"/>
              </w:rPr>
              <w:instrText xml:space="preserve"> NUMPAGES  </w:instrText>
            </w:r>
            <w:r w:rsidRPr="003734D4">
              <w:rPr>
                <w:rFonts w:ascii="Arial" w:hAnsi="Arial" w:cs="Arial"/>
                <w:sz w:val="20"/>
                <w:szCs w:val="20"/>
              </w:rPr>
              <w:fldChar w:fldCharType="separate"/>
            </w:r>
            <w:r>
              <w:rPr>
                <w:rFonts w:ascii="Arial" w:hAnsi="Arial" w:cs="Arial"/>
                <w:sz w:val="20"/>
                <w:szCs w:val="20"/>
              </w:rPr>
              <w:t>5</w:t>
            </w:r>
            <w:r w:rsidRPr="003734D4">
              <w:rPr>
                <w:rFonts w:ascii="Arial" w:hAnsi="Arial" w:cs="Arial"/>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D7C9" w14:textId="77777777" w:rsidR="00515C4A" w:rsidRDefault="00515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00C6" w14:textId="77777777" w:rsidR="006213D8" w:rsidRDefault="006213D8">
      <w:pPr>
        <w:spacing w:after="0" w:line="240" w:lineRule="auto"/>
      </w:pPr>
      <w:r>
        <w:separator/>
      </w:r>
    </w:p>
  </w:footnote>
  <w:footnote w:type="continuationSeparator" w:id="0">
    <w:p w14:paraId="16F1F623" w14:textId="77777777" w:rsidR="006213D8" w:rsidRDefault="00621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001B" w14:textId="77777777" w:rsidR="00515C4A" w:rsidRDefault="00515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9CB2" w14:textId="77777777" w:rsidR="00515C4A" w:rsidRPr="0082166F" w:rsidRDefault="00515C4A" w:rsidP="00515C4A">
    <w:pPr>
      <w:pStyle w:val="Default"/>
      <w:jc w:val="right"/>
      <w:rPr>
        <w:sz w:val="20"/>
        <w:szCs w:val="20"/>
      </w:rPr>
    </w:pPr>
    <w:r w:rsidRPr="0082166F">
      <w:rPr>
        <w:sz w:val="20"/>
        <w:szCs w:val="20"/>
      </w:rPr>
      <w:t>Financial Management of Property, Plant and Equipment</w:t>
    </w:r>
  </w:p>
  <w:p w14:paraId="35A10745" w14:textId="77777777" w:rsidR="00515C4A" w:rsidRPr="0082166F" w:rsidRDefault="00515C4A" w:rsidP="00515C4A">
    <w:pPr>
      <w:pStyle w:val="Default"/>
      <w:jc w:val="right"/>
      <w:rPr>
        <w:sz w:val="20"/>
        <w:szCs w:val="20"/>
      </w:rPr>
    </w:pPr>
    <w:r w:rsidRPr="0082166F">
      <w:rPr>
        <w:sz w:val="20"/>
        <w:szCs w:val="20"/>
      </w:rPr>
      <w:tab/>
      <w:t>Revision Date: 07/01/2025</w:t>
    </w:r>
  </w:p>
  <w:p w14:paraId="7DA0BB27" w14:textId="77777777" w:rsidR="00515C4A" w:rsidRPr="0082166F" w:rsidRDefault="00515C4A" w:rsidP="00515C4A">
    <w:pPr>
      <w:pStyle w:val="Default"/>
      <w:jc w:val="right"/>
      <w:rPr>
        <w:sz w:val="20"/>
        <w:szCs w:val="20"/>
      </w:rPr>
    </w:pPr>
    <w:r w:rsidRPr="0082166F">
      <w:rPr>
        <w:sz w:val="20"/>
        <w:szCs w:val="20"/>
      </w:rPr>
      <w:t>http://policies.fad.harvard.edu</w:t>
    </w:r>
  </w:p>
  <w:p w14:paraId="517A75AF" w14:textId="77777777" w:rsidR="00515C4A" w:rsidRDefault="00515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E6FB" w14:textId="77777777" w:rsidR="00515C4A" w:rsidRDefault="00515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058"/>
    <w:multiLevelType w:val="hybridMultilevel"/>
    <w:tmpl w:val="10E0A344"/>
    <w:lvl w:ilvl="0" w:tplc="D3A4D08E">
      <w:start w:val="1"/>
      <w:numFmt w:val="lowerLetter"/>
      <w:pStyle w:val="Leve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C217CF"/>
    <w:multiLevelType w:val="hybridMultilevel"/>
    <w:tmpl w:val="236C36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4B6AFD"/>
    <w:multiLevelType w:val="hybridMultilevel"/>
    <w:tmpl w:val="593CAF34"/>
    <w:lvl w:ilvl="0" w:tplc="E79E1F2C">
      <w:start w:val="1"/>
      <w:numFmt w:val="decimal"/>
      <w:pStyle w:val="Level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DF7EA8"/>
    <w:multiLevelType w:val="hybridMultilevel"/>
    <w:tmpl w:val="6AF83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97541"/>
    <w:multiLevelType w:val="hybridMultilevel"/>
    <w:tmpl w:val="0F72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B489F"/>
    <w:multiLevelType w:val="hybridMultilevel"/>
    <w:tmpl w:val="64E4DAD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11F22484"/>
    <w:multiLevelType w:val="hybridMultilevel"/>
    <w:tmpl w:val="0D0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510A0"/>
    <w:multiLevelType w:val="hybridMultilevel"/>
    <w:tmpl w:val="13B8C5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A176BC"/>
    <w:multiLevelType w:val="hybridMultilevel"/>
    <w:tmpl w:val="DDBE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7B6A"/>
    <w:multiLevelType w:val="hybridMultilevel"/>
    <w:tmpl w:val="21FC4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A130F"/>
    <w:multiLevelType w:val="hybridMultilevel"/>
    <w:tmpl w:val="9DD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357D8"/>
    <w:multiLevelType w:val="multilevel"/>
    <w:tmpl w:val="93B6276C"/>
    <w:styleLink w:val="PolicyStyle"/>
    <w:lvl w:ilvl="0">
      <w:start w:val="1"/>
      <w:numFmt w:val="upperRoman"/>
      <w:lvlText w:val="%1)"/>
      <w:lvlJc w:val="left"/>
      <w:pPr>
        <w:ind w:left="360" w:hanging="360"/>
      </w:pPr>
      <w:rPr>
        <w:rFonts w:asciiTheme="minorHAnsi" w:hAnsiTheme="minorHAnsi" w:hint="default"/>
        <w:sz w:val="20"/>
      </w:rPr>
    </w:lvl>
    <w:lvl w:ilvl="1">
      <w:start w:val="1"/>
      <w:numFmt w:val="upperLetter"/>
      <w:lvlText w:val="%2)"/>
      <w:lvlJc w:val="left"/>
      <w:pPr>
        <w:ind w:left="432" w:firstLine="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1.)"/>
      <w:lvlJc w:val="left"/>
      <w:pPr>
        <w:ind w:left="1800" w:hanging="360"/>
      </w:pPr>
      <w:rPr>
        <w:rFonts w:hint="default"/>
      </w:rPr>
    </w:lvl>
    <w:lvl w:ilvl="5">
      <w:start w:val="1"/>
      <w:numFmt w:val="none"/>
      <w:lvlText w:val="(a)"/>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E61EA6"/>
    <w:multiLevelType w:val="hybridMultilevel"/>
    <w:tmpl w:val="EEF4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02817"/>
    <w:multiLevelType w:val="hybridMultilevel"/>
    <w:tmpl w:val="5FEC61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453B11"/>
    <w:multiLevelType w:val="hybridMultilevel"/>
    <w:tmpl w:val="84DC7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DD3F66"/>
    <w:multiLevelType w:val="hybridMultilevel"/>
    <w:tmpl w:val="11486E5A"/>
    <w:lvl w:ilvl="0" w:tplc="DE0CF8C6">
      <w:start w:val="1"/>
      <w:numFmt w:val="decimal"/>
      <w:pStyle w:val="Level1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777FF7"/>
    <w:multiLevelType w:val="hybridMultilevel"/>
    <w:tmpl w:val="15245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DB37AB2"/>
    <w:multiLevelType w:val="hybridMultilevel"/>
    <w:tmpl w:val="550C0E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2DCC2495"/>
    <w:multiLevelType w:val="hybridMultilevel"/>
    <w:tmpl w:val="4D4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E1183"/>
    <w:multiLevelType w:val="hybridMultilevel"/>
    <w:tmpl w:val="23AA7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335F44"/>
    <w:multiLevelType w:val="hybridMultilevel"/>
    <w:tmpl w:val="D722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60B58"/>
    <w:multiLevelType w:val="hybridMultilevel"/>
    <w:tmpl w:val="E474F2B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32B2500"/>
    <w:multiLevelType w:val="hybridMultilevel"/>
    <w:tmpl w:val="6D3C24F2"/>
    <w:lvl w:ilvl="0" w:tplc="CD82914C">
      <w:start w:val="1"/>
      <w:numFmt w:val="upperRoman"/>
      <w:pStyle w:val="LevelI"/>
      <w:lvlText w:val="%1."/>
      <w:lvlJc w:val="left"/>
      <w:pPr>
        <w:ind w:left="720" w:hanging="720"/>
      </w:pPr>
      <w:rPr>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171371"/>
    <w:multiLevelType w:val="hybridMultilevel"/>
    <w:tmpl w:val="08608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1D710F"/>
    <w:multiLevelType w:val="hybridMultilevel"/>
    <w:tmpl w:val="5C300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F33A69"/>
    <w:multiLevelType w:val="hybridMultilevel"/>
    <w:tmpl w:val="AC780CC0"/>
    <w:lvl w:ilvl="0" w:tplc="7A1E5FC2">
      <w:start w:val="1"/>
      <w:numFmt w:val="upperLetter"/>
      <w:pStyle w:val="LevelA0"/>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3010A9"/>
    <w:multiLevelType w:val="hybridMultilevel"/>
    <w:tmpl w:val="CFB4D2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5A23B1"/>
    <w:multiLevelType w:val="hybridMultilevel"/>
    <w:tmpl w:val="E636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00BE0"/>
    <w:multiLevelType w:val="hybridMultilevel"/>
    <w:tmpl w:val="72A22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D37AC7"/>
    <w:multiLevelType w:val="hybridMultilevel"/>
    <w:tmpl w:val="F12CC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A503AC"/>
    <w:multiLevelType w:val="hybridMultilevel"/>
    <w:tmpl w:val="38601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FD3EC1"/>
    <w:multiLevelType w:val="hybridMultilevel"/>
    <w:tmpl w:val="425C2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672107"/>
    <w:multiLevelType w:val="hybridMultilevel"/>
    <w:tmpl w:val="49720D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4777105">
    <w:abstractNumId w:val="11"/>
  </w:num>
  <w:num w:numId="2" w16cid:durableId="1220165491">
    <w:abstractNumId w:val="22"/>
  </w:num>
  <w:num w:numId="3" w16cid:durableId="871066562">
    <w:abstractNumId w:val="25"/>
  </w:num>
  <w:num w:numId="4" w16cid:durableId="1968469029">
    <w:abstractNumId w:val="15"/>
  </w:num>
  <w:num w:numId="5" w16cid:durableId="1057439910">
    <w:abstractNumId w:val="0"/>
  </w:num>
  <w:num w:numId="6" w16cid:durableId="1280529577">
    <w:abstractNumId w:val="2"/>
  </w:num>
  <w:num w:numId="7" w16cid:durableId="1892227204">
    <w:abstractNumId w:val="15"/>
    <w:lvlOverride w:ilvl="0">
      <w:startOverride w:val="1"/>
    </w:lvlOverride>
  </w:num>
  <w:num w:numId="8" w16cid:durableId="2076972235">
    <w:abstractNumId w:val="25"/>
    <w:lvlOverride w:ilvl="0">
      <w:startOverride w:val="1"/>
    </w:lvlOverride>
  </w:num>
  <w:num w:numId="9" w16cid:durableId="554050424">
    <w:abstractNumId w:val="15"/>
    <w:lvlOverride w:ilvl="0">
      <w:startOverride w:val="1"/>
    </w:lvlOverride>
  </w:num>
  <w:num w:numId="10" w16cid:durableId="1385447821">
    <w:abstractNumId w:val="15"/>
    <w:lvlOverride w:ilvl="0">
      <w:startOverride w:val="1"/>
    </w:lvlOverride>
  </w:num>
  <w:num w:numId="11" w16cid:durableId="24988690">
    <w:abstractNumId w:val="25"/>
    <w:lvlOverride w:ilvl="0">
      <w:startOverride w:val="1"/>
    </w:lvlOverride>
  </w:num>
  <w:num w:numId="12" w16cid:durableId="1795055505">
    <w:abstractNumId w:val="15"/>
    <w:lvlOverride w:ilvl="0">
      <w:startOverride w:val="1"/>
    </w:lvlOverride>
  </w:num>
  <w:num w:numId="13" w16cid:durableId="1482307041">
    <w:abstractNumId w:val="15"/>
    <w:lvlOverride w:ilvl="0">
      <w:startOverride w:val="1"/>
    </w:lvlOverride>
  </w:num>
  <w:num w:numId="14" w16cid:durableId="1069571043">
    <w:abstractNumId w:val="25"/>
    <w:lvlOverride w:ilvl="0">
      <w:startOverride w:val="1"/>
    </w:lvlOverride>
  </w:num>
  <w:num w:numId="15" w16cid:durableId="929391644">
    <w:abstractNumId w:val="15"/>
    <w:lvlOverride w:ilvl="0">
      <w:startOverride w:val="1"/>
    </w:lvlOverride>
  </w:num>
  <w:num w:numId="16" w16cid:durableId="449130904">
    <w:abstractNumId w:val="25"/>
    <w:lvlOverride w:ilvl="0">
      <w:startOverride w:val="1"/>
    </w:lvlOverride>
  </w:num>
  <w:num w:numId="17" w16cid:durableId="520779065">
    <w:abstractNumId w:val="27"/>
  </w:num>
  <w:num w:numId="18" w16cid:durableId="1102384204">
    <w:abstractNumId w:val="22"/>
    <w:lvlOverride w:ilvl="0">
      <w:startOverride w:val="1"/>
    </w:lvlOverride>
  </w:num>
  <w:num w:numId="19" w16cid:durableId="536821081">
    <w:abstractNumId w:val="25"/>
    <w:lvlOverride w:ilvl="0">
      <w:startOverride w:val="1"/>
    </w:lvlOverride>
  </w:num>
  <w:num w:numId="20" w16cid:durableId="2079666007">
    <w:abstractNumId w:val="25"/>
    <w:lvlOverride w:ilvl="0">
      <w:startOverride w:val="1"/>
    </w:lvlOverride>
  </w:num>
  <w:num w:numId="21" w16cid:durableId="317076401">
    <w:abstractNumId w:val="25"/>
    <w:lvlOverride w:ilvl="0">
      <w:startOverride w:val="1"/>
    </w:lvlOverride>
  </w:num>
  <w:num w:numId="22" w16cid:durableId="745151332">
    <w:abstractNumId w:val="4"/>
  </w:num>
  <w:num w:numId="23" w16cid:durableId="1490367876">
    <w:abstractNumId w:val="22"/>
    <w:lvlOverride w:ilvl="0">
      <w:startOverride w:val="1"/>
    </w:lvlOverride>
  </w:num>
  <w:num w:numId="24" w16cid:durableId="475684842">
    <w:abstractNumId w:val="25"/>
    <w:lvlOverride w:ilvl="0">
      <w:startOverride w:val="1"/>
    </w:lvlOverride>
  </w:num>
  <w:num w:numId="25" w16cid:durableId="1148279185">
    <w:abstractNumId w:val="28"/>
  </w:num>
  <w:num w:numId="26" w16cid:durableId="1956329913">
    <w:abstractNumId w:val="14"/>
  </w:num>
  <w:num w:numId="27" w16cid:durableId="888763965">
    <w:abstractNumId w:val="15"/>
    <w:lvlOverride w:ilvl="0">
      <w:startOverride w:val="1"/>
    </w:lvlOverride>
  </w:num>
  <w:num w:numId="28" w16cid:durableId="1457597222">
    <w:abstractNumId w:val="7"/>
  </w:num>
  <w:num w:numId="29" w16cid:durableId="175273444">
    <w:abstractNumId w:val="15"/>
    <w:lvlOverride w:ilvl="0">
      <w:startOverride w:val="1"/>
    </w:lvlOverride>
  </w:num>
  <w:num w:numId="30" w16cid:durableId="1728870469">
    <w:abstractNumId w:val="0"/>
    <w:lvlOverride w:ilvl="0">
      <w:startOverride w:val="1"/>
    </w:lvlOverride>
  </w:num>
  <w:num w:numId="31" w16cid:durableId="1602952985">
    <w:abstractNumId w:val="26"/>
  </w:num>
  <w:num w:numId="32" w16cid:durableId="216016892">
    <w:abstractNumId w:val="16"/>
  </w:num>
  <w:num w:numId="33" w16cid:durableId="1896233777">
    <w:abstractNumId w:val="1"/>
  </w:num>
  <w:num w:numId="34" w16cid:durableId="1194197772">
    <w:abstractNumId w:val="13"/>
  </w:num>
  <w:num w:numId="35" w16cid:durableId="1469670055">
    <w:abstractNumId w:val="31"/>
  </w:num>
  <w:num w:numId="36" w16cid:durableId="1020473092">
    <w:abstractNumId w:val="15"/>
    <w:lvlOverride w:ilvl="0">
      <w:startOverride w:val="1"/>
    </w:lvlOverride>
  </w:num>
  <w:num w:numId="37" w16cid:durableId="495808750">
    <w:abstractNumId w:val="12"/>
  </w:num>
  <w:num w:numId="38" w16cid:durableId="1014499974">
    <w:abstractNumId w:val="29"/>
  </w:num>
  <w:num w:numId="39" w16cid:durableId="1843427503">
    <w:abstractNumId w:val="23"/>
  </w:num>
  <w:num w:numId="40" w16cid:durableId="1915040487">
    <w:abstractNumId w:val="5"/>
  </w:num>
  <w:num w:numId="41" w16cid:durableId="304433807">
    <w:abstractNumId w:val="25"/>
    <w:lvlOverride w:ilvl="0">
      <w:startOverride w:val="1"/>
    </w:lvlOverride>
  </w:num>
  <w:num w:numId="42" w16cid:durableId="49496786">
    <w:abstractNumId w:val="20"/>
  </w:num>
  <w:num w:numId="43" w16cid:durableId="1815562182">
    <w:abstractNumId w:val="18"/>
  </w:num>
  <w:num w:numId="44" w16cid:durableId="1701008803">
    <w:abstractNumId w:val="10"/>
  </w:num>
  <w:num w:numId="45" w16cid:durableId="1201936182">
    <w:abstractNumId w:val="21"/>
  </w:num>
  <w:num w:numId="46" w16cid:durableId="1080978948">
    <w:abstractNumId w:val="6"/>
  </w:num>
  <w:num w:numId="47" w16cid:durableId="551425065">
    <w:abstractNumId w:val="17"/>
  </w:num>
  <w:num w:numId="48" w16cid:durableId="1693069609">
    <w:abstractNumId w:val="22"/>
    <w:lvlOverride w:ilvl="0">
      <w:startOverride w:val="1"/>
    </w:lvlOverride>
  </w:num>
  <w:num w:numId="49" w16cid:durableId="1781877156">
    <w:abstractNumId w:val="25"/>
    <w:lvlOverride w:ilvl="0">
      <w:startOverride w:val="1"/>
    </w:lvlOverride>
  </w:num>
  <w:num w:numId="50" w16cid:durableId="844397749">
    <w:abstractNumId w:val="15"/>
    <w:lvlOverride w:ilvl="0">
      <w:startOverride w:val="1"/>
    </w:lvlOverride>
  </w:num>
  <w:num w:numId="51" w16cid:durableId="1779328985">
    <w:abstractNumId w:val="0"/>
    <w:lvlOverride w:ilvl="0">
      <w:startOverride w:val="1"/>
    </w:lvlOverride>
  </w:num>
  <w:num w:numId="52" w16cid:durableId="1421950729">
    <w:abstractNumId w:val="15"/>
    <w:lvlOverride w:ilvl="0">
      <w:startOverride w:val="1"/>
    </w:lvlOverride>
  </w:num>
  <w:num w:numId="53" w16cid:durableId="1629125124">
    <w:abstractNumId w:val="19"/>
  </w:num>
  <w:num w:numId="54" w16cid:durableId="21790134">
    <w:abstractNumId w:val="30"/>
  </w:num>
  <w:num w:numId="55" w16cid:durableId="910653976">
    <w:abstractNumId w:val="24"/>
  </w:num>
  <w:num w:numId="56" w16cid:durableId="2127381792">
    <w:abstractNumId w:val="9"/>
  </w:num>
  <w:num w:numId="57" w16cid:durableId="1768505080">
    <w:abstractNumId w:val="32"/>
  </w:num>
  <w:num w:numId="58" w16cid:durableId="1291472320">
    <w:abstractNumId w:val="3"/>
  </w:num>
  <w:num w:numId="59" w16cid:durableId="1129277976">
    <w:abstractNumId w:val="8"/>
  </w:num>
  <w:num w:numId="60" w16cid:durableId="183401241">
    <w:abstractNumId w:val="25"/>
    <w:lvlOverride w:ilvl="0">
      <w:startOverride w:val="1"/>
    </w:lvlOverride>
  </w:num>
  <w:num w:numId="61" w16cid:durableId="1848863624">
    <w:abstractNumId w:val="25"/>
    <w:lvlOverride w:ilvl="0">
      <w:startOverride w:val="1"/>
    </w:lvlOverride>
  </w:num>
  <w:num w:numId="62" w16cid:durableId="665286279">
    <w:abstractNumId w:val="25"/>
  </w:num>
  <w:num w:numId="63" w16cid:durableId="1700353620">
    <w:abstractNumId w:val="25"/>
    <w:lvlOverride w:ilvl="0">
      <w:startOverride w:val="1"/>
    </w:lvlOverride>
  </w:num>
  <w:num w:numId="64" w16cid:durableId="361053324">
    <w:abstractNumId w:val="25"/>
    <w:lvlOverride w:ilvl="0">
      <w:startOverride w:val="1"/>
    </w:lvlOverride>
  </w:num>
  <w:num w:numId="65" w16cid:durableId="1338538335">
    <w:abstractNumId w:val="25"/>
    <w:lvlOverride w:ilvl="0">
      <w:startOverride w:val="1"/>
    </w:lvlOverride>
  </w:num>
  <w:num w:numId="66" w16cid:durableId="1214080163">
    <w:abstractNumId w:val="25"/>
    <w:lvlOverride w:ilvl="0">
      <w:startOverride w:val="1"/>
    </w:lvlOverride>
  </w:num>
  <w:num w:numId="67" w16cid:durableId="493375012">
    <w:abstractNumId w:val="25"/>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C0sGHbK29AElR7sLzDSIbj9UF2OT7tXdPS1aXHdBvlpgAZp4MEvfgWtLqGFtLNrx4FTHpMyfpp1d/OSgiLrOg==" w:salt="nZeE1pSHgc4uZFx/3to44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2C"/>
    <w:rsid w:val="0002165C"/>
    <w:rsid w:val="00022126"/>
    <w:rsid w:val="00037F04"/>
    <w:rsid w:val="0005649E"/>
    <w:rsid w:val="000753D9"/>
    <w:rsid w:val="00082E7C"/>
    <w:rsid w:val="000B7562"/>
    <w:rsid w:val="000D0D8F"/>
    <w:rsid w:val="000D7E3C"/>
    <w:rsid w:val="000E4355"/>
    <w:rsid w:val="000F56DF"/>
    <w:rsid w:val="00105261"/>
    <w:rsid w:val="00132158"/>
    <w:rsid w:val="00132A4D"/>
    <w:rsid w:val="00142D4E"/>
    <w:rsid w:val="001575D6"/>
    <w:rsid w:val="00173593"/>
    <w:rsid w:val="001950D0"/>
    <w:rsid w:val="001A05AF"/>
    <w:rsid w:val="001A6144"/>
    <w:rsid w:val="001B6F27"/>
    <w:rsid w:val="001C36D1"/>
    <w:rsid w:val="001F780F"/>
    <w:rsid w:val="002636FA"/>
    <w:rsid w:val="00281B4C"/>
    <w:rsid w:val="002973B5"/>
    <w:rsid w:val="002C135E"/>
    <w:rsid w:val="002C3052"/>
    <w:rsid w:val="002C49E9"/>
    <w:rsid w:val="002D0AD0"/>
    <w:rsid w:val="002F760F"/>
    <w:rsid w:val="00321334"/>
    <w:rsid w:val="00355430"/>
    <w:rsid w:val="003B4189"/>
    <w:rsid w:val="003C6247"/>
    <w:rsid w:val="003F1DDF"/>
    <w:rsid w:val="00402B50"/>
    <w:rsid w:val="00405437"/>
    <w:rsid w:val="00434511"/>
    <w:rsid w:val="004436AC"/>
    <w:rsid w:val="0044434E"/>
    <w:rsid w:val="00454E45"/>
    <w:rsid w:val="00466ED9"/>
    <w:rsid w:val="004A1838"/>
    <w:rsid w:val="004B12E6"/>
    <w:rsid w:val="004C2615"/>
    <w:rsid w:val="004E0A60"/>
    <w:rsid w:val="0050537C"/>
    <w:rsid w:val="005123B6"/>
    <w:rsid w:val="00515C4A"/>
    <w:rsid w:val="005361AF"/>
    <w:rsid w:val="00537BF4"/>
    <w:rsid w:val="00554F37"/>
    <w:rsid w:val="00557C62"/>
    <w:rsid w:val="00564D75"/>
    <w:rsid w:val="0058597E"/>
    <w:rsid w:val="00591F00"/>
    <w:rsid w:val="00595499"/>
    <w:rsid w:val="005C4546"/>
    <w:rsid w:val="005D4D0E"/>
    <w:rsid w:val="005E60F8"/>
    <w:rsid w:val="00604048"/>
    <w:rsid w:val="006213D8"/>
    <w:rsid w:val="0065050E"/>
    <w:rsid w:val="0067441F"/>
    <w:rsid w:val="0068200C"/>
    <w:rsid w:val="00686C4F"/>
    <w:rsid w:val="006A19E0"/>
    <w:rsid w:val="006B2233"/>
    <w:rsid w:val="006B5017"/>
    <w:rsid w:val="006B583C"/>
    <w:rsid w:val="006C669B"/>
    <w:rsid w:val="006D5A92"/>
    <w:rsid w:val="00710AC7"/>
    <w:rsid w:val="00714D78"/>
    <w:rsid w:val="0075039E"/>
    <w:rsid w:val="00761ECA"/>
    <w:rsid w:val="00785364"/>
    <w:rsid w:val="007B7892"/>
    <w:rsid w:val="007E7BF9"/>
    <w:rsid w:val="007F2586"/>
    <w:rsid w:val="008103A3"/>
    <w:rsid w:val="00845A2A"/>
    <w:rsid w:val="008518BE"/>
    <w:rsid w:val="00860C07"/>
    <w:rsid w:val="00880B99"/>
    <w:rsid w:val="0089455F"/>
    <w:rsid w:val="00895670"/>
    <w:rsid w:val="008A1EA9"/>
    <w:rsid w:val="008B7CFA"/>
    <w:rsid w:val="008D6C36"/>
    <w:rsid w:val="008F6EB3"/>
    <w:rsid w:val="008F7A10"/>
    <w:rsid w:val="008F7A39"/>
    <w:rsid w:val="0091328E"/>
    <w:rsid w:val="0093420D"/>
    <w:rsid w:val="00942EF2"/>
    <w:rsid w:val="00972F11"/>
    <w:rsid w:val="00983AA0"/>
    <w:rsid w:val="009960CF"/>
    <w:rsid w:val="009B7D48"/>
    <w:rsid w:val="009C13ED"/>
    <w:rsid w:val="009E5DA2"/>
    <w:rsid w:val="009E5EF8"/>
    <w:rsid w:val="00A10FAC"/>
    <w:rsid w:val="00A11EDD"/>
    <w:rsid w:val="00A12726"/>
    <w:rsid w:val="00A52C52"/>
    <w:rsid w:val="00A742C7"/>
    <w:rsid w:val="00A9013C"/>
    <w:rsid w:val="00A9141A"/>
    <w:rsid w:val="00AA31A2"/>
    <w:rsid w:val="00AF3D4A"/>
    <w:rsid w:val="00B5547E"/>
    <w:rsid w:val="00B60A4B"/>
    <w:rsid w:val="00B85CE9"/>
    <w:rsid w:val="00BA282B"/>
    <w:rsid w:val="00BB0DFC"/>
    <w:rsid w:val="00BB5475"/>
    <w:rsid w:val="00BC786E"/>
    <w:rsid w:val="00C1402B"/>
    <w:rsid w:val="00C216EA"/>
    <w:rsid w:val="00C41EBC"/>
    <w:rsid w:val="00C70B13"/>
    <w:rsid w:val="00CD5510"/>
    <w:rsid w:val="00D3157A"/>
    <w:rsid w:val="00D3782C"/>
    <w:rsid w:val="00D46D85"/>
    <w:rsid w:val="00D81970"/>
    <w:rsid w:val="00D85CA0"/>
    <w:rsid w:val="00D902E7"/>
    <w:rsid w:val="00D972A2"/>
    <w:rsid w:val="00DB71EC"/>
    <w:rsid w:val="00DC1A49"/>
    <w:rsid w:val="00DC3191"/>
    <w:rsid w:val="00DD0A8A"/>
    <w:rsid w:val="00DF5ABA"/>
    <w:rsid w:val="00DF7673"/>
    <w:rsid w:val="00E12136"/>
    <w:rsid w:val="00E42BE2"/>
    <w:rsid w:val="00E56912"/>
    <w:rsid w:val="00E6323F"/>
    <w:rsid w:val="00E647C6"/>
    <w:rsid w:val="00E814C9"/>
    <w:rsid w:val="00E963C2"/>
    <w:rsid w:val="00E9703F"/>
    <w:rsid w:val="00EA5D43"/>
    <w:rsid w:val="00ED04C6"/>
    <w:rsid w:val="00EE4B55"/>
    <w:rsid w:val="00EE63C4"/>
    <w:rsid w:val="00EF509E"/>
    <w:rsid w:val="00F02514"/>
    <w:rsid w:val="00F31F50"/>
    <w:rsid w:val="00F457A0"/>
    <w:rsid w:val="00F45D76"/>
    <w:rsid w:val="00F929B2"/>
    <w:rsid w:val="00F97343"/>
    <w:rsid w:val="00FA2EB4"/>
    <w:rsid w:val="00FA63F3"/>
    <w:rsid w:val="00FC0A1C"/>
    <w:rsid w:val="00FD3B91"/>
    <w:rsid w:val="00FD6E1C"/>
    <w:rsid w:val="00FF245B"/>
    <w:rsid w:val="00FF2BF0"/>
    <w:rsid w:val="015D8B31"/>
    <w:rsid w:val="04BC70C2"/>
    <w:rsid w:val="05816E9D"/>
    <w:rsid w:val="0629C7F0"/>
    <w:rsid w:val="06590BD4"/>
    <w:rsid w:val="091AD4BD"/>
    <w:rsid w:val="09B11E3A"/>
    <w:rsid w:val="09BCA8D2"/>
    <w:rsid w:val="12BD4267"/>
    <w:rsid w:val="1302EB9A"/>
    <w:rsid w:val="1356102F"/>
    <w:rsid w:val="1410770F"/>
    <w:rsid w:val="1715B8B8"/>
    <w:rsid w:val="172A15AA"/>
    <w:rsid w:val="1830D158"/>
    <w:rsid w:val="1B3E0584"/>
    <w:rsid w:val="1BEB0EB2"/>
    <w:rsid w:val="1BF36906"/>
    <w:rsid w:val="1D26D097"/>
    <w:rsid w:val="1E740AE1"/>
    <w:rsid w:val="2032B3D6"/>
    <w:rsid w:val="22DA15B0"/>
    <w:rsid w:val="2399A8FC"/>
    <w:rsid w:val="23E0D00C"/>
    <w:rsid w:val="261CCB4D"/>
    <w:rsid w:val="2BCCA63C"/>
    <w:rsid w:val="2CACD74A"/>
    <w:rsid w:val="2E59E374"/>
    <w:rsid w:val="2FE49A21"/>
    <w:rsid w:val="3069C16B"/>
    <w:rsid w:val="313AB3F4"/>
    <w:rsid w:val="33D8210A"/>
    <w:rsid w:val="36798B8A"/>
    <w:rsid w:val="3B0C0F2A"/>
    <w:rsid w:val="3D0FAC2E"/>
    <w:rsid w:val="40E95D44"/>
    <w:rsid w:val="41D35F12"/>
    <w:rsid w:val="47AFD61C"/>
    <w:rsid w:val="489449B3"/>
    <w:rsid w:val="4BFF6A4D"/>
    <w:rsid w:val="4CDBD58D"/>
    <w:rsid w:val="4EBBE016"/>
    <w:rsid w:val="502FE424"/>
    <w:rsid w:val="517824D0"/>
    <w:rsid w:val="52643869"/>
    <w:rsid w:val="532DD268"/>
    <w:rsid w:val="53415DA3"/>
    <w:rsid w:val="536D1697"/>
    <w:rsid w:val="54546DEA"/>
    <w:rsid w:val="5627D7B0"/>
    <w:rsid w:val="5934C6AD"/>
    <w:rsid w:val="598F4A4D"/>
    <w:rsid w:val="5B889656"/>
    <w:rsid w:val="5F463E34"/>
    <w:rsid w:val="608AEB4E"/>
    <w:rsid w:val="60DC7BD3"/>
    <w:rsid w:val="6242A020"/>
    <w:rsid w:val="627DD21F"/>
    <w:rsid w:val="67A4BECD"/>
    <w:rsid w:val="684EC395"/>
    <w:rsid w:val="6997706A"/>
    <w:rsid w:val="6F00A106"/>
    <w:rsid w:val="73E47039"/>
    <w:rsid w:val="7670CC61"/>
    <w:rsid w:val="77C4C048"/>
    <w:rsid w:val="79697A73"/>
    <w:rsid w:val="79B38C56"/>
    <w:rsid w:val="7B6CC6E2"/>
    <w:rsid w:val="7BF1B4B3"/>
    <w:rsid w:val="7CD3A8EB"/>
    <w:rsid w:val="7E1319FE"/>
    <w:rsid w:val="7EEBCE4D"/>
    <w:rsid w:val="7FD54E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76D6"/>
  <w15:chartTrackingRefBased/>
  <w15:docId w15:val="{F56EDA34-4527-4524-B4B9-25CF9541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82C"/>
    <w:pPr>
      <w:spacing w:after="120" w:line="247" w:lineRule="auto"/>
    </w:pPr>
    <w:rPr>
      <w:kern w:val="0"/>
      <w:sz w:val="22"/>
      <w:szCs w:val="22"/>
      <w14:ligatures w14:val="none"/>
    </w:rPr>
  </w:style>
  <w:style w:type="paragraph" w:styleId="Heading1">
    <w:name w:val="heading 1"/>
    <w:basedOn w:val="Normal"/>
    <w:next w:val="Normal"/>
    <w:link w:val="Heading1Char"/>
    <w:qFormat/>
    <w:rsid w:val="00D37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D37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D37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D37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D37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D37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D37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D37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1"/>
    <w:rsid w:val="00D37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82C"/>
    <w:rPr>
      <w:rFonts w:eastAsiaTheme="majorEastAsia" w:cstheme="majorBidi"/>
      <w:color w:val="272727" w:themeColor="text1" w:themeTint="D8"/>
    </w:rPr>
  </w:style>
  <w:style w:type="paragraph" w:styleId="Title">
    <w:name w:val="Title"/>
    <w:basedOn w:val="Normal"/>
    <w:next w:val="Normal"/>
    <w:link w:val="TitleChar"/>
    <w:qFormat/>
    <w:rsid w:val="00D37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7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37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37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82C"/>
    <w:pPr>
      <w:spacing w:before="160"/>
      <w:jc w:val="center"/>
    </w:pPr>
    <w:rPr>
      <w:i/>
      <w:iCs/>
      <w:color w:val="404040" w:themeColor="text1" w:themeTint="BF"/>
    </w:rPr>
  </w:style>
  <w:style w:type="character" w:customStyle="1" w:styleId="QuoteChar">
    <w:name w:val="Quote Char"/>
    <w:basedOn w:val="DefaultParagraphFont"/>
    <w:link w:val="Quote"/>
    <w:uiPriority w:val="29"/>
    <w:rsid w:val="00D3782C"/>
    <w:rPr>
      <w:i/>
      <w:iCs/>
      <w:color w:val="404040" w:themeColor="text1" w:themeTint="BF"/>
    </w:rPr>
  </w:style>
  <w:style w:type="paragraph" w:styleId="ListParagraph">
    <w:name w:val="List Paragraph"/>
    <w:basedOn w:val="Normal"/>
    <w:uiPriority w:val="34"/>
    <w:qFormat/>
    <w:rsid w:val="00D3782C"/>
    <w:pPr>
      <w:ind w:left="720"/>
      <w:contextualSpacing/>
    </w:pPr>
  </w:style>
  <w:style w:type="character" w:styleId="IntenseEmphasis">
    <w:name w:val="Intense Emphasis"/>
    <w:basedOn w:val="DefaultParagraphFont"/>
    <w:uiPriority w:val="21"/>
    <w:qFormat/>
    <w:rsid w:val="00D3782C"/>
    <w:rPr>
      <w:i/>
      <w:iCs/>
      <w:color w:val="0F4761" w:themeColor="accent1" w:themeShade="BF"/>
    </w:rPr>
  </w:style>
  <w:style w:type="paragraph" w:styleId="IntenseQuote">
    <w:name w:val="Intense Quote"/>
    <w:aliases w:val="Policy Header"/>
    <w:basedOn w:val="Normal"/>
    <w:next w:val="Normal"/>
    <w:link w:val="IntenseQuoteChar"/>
    <w:uiPriority w:val="30"/>
    <w:qFormat/>
    <w:rsid w:val="00D37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aliases w:val="Policy Header Char"/>
    <w:basedOn w:val="DefaultParagraphFont"/>
    <w:link w:val="IntenseQuote"/>
    <w:uiPriority w:val="30"/>
    <w:rsid w:val="00D3782C"/>
    <w:rPr>
      <w:i/>
      <w:iCs/>
      <w:color w:val="0F4761" w:themeColor="accent1" w:themeShade="BF"/>
    </w:rPr>
  </w:style>
  <w:style w:type="character" w:styleId="IntenseReference">
    <w:name w:val="Intense Reference"/>
    <w:basedOn w:val="DefaultParagraphFont"/>
    <w:uiPriority w:val="32"/>
    <w:qFormat/>
    <w:rsid w:val="00D3782C"/>
    <w:rPr>
      <w:b/>
      <w:bCs/>
      <w:smallCaps/>
      <w:color w:val="0F4761" w:themeColor="accent1" w:themeShade="BF"/>
      <w:spacing w:val="5"/>
    </w:rPr>
  </w:style>
  <w:style w:type="paragraph" w:styleId="Footer">
    <w:name w:val="footer"/>
    <w:basedOn w:val="Normal"/>
    <w:link w:val="FooterChar"/>
    <w:uiPriority w:val="99"/>
    <w:rsid w:val="00D3782C"/>
    <w:pPr>
      <w:tabs>
        <w:tab w:val="center" w:pos="4680"/>
        <w:tab w:val="right" w:pos="9360"/>
      </w:tabs>
    </w:pPr>
  </w:style>
  <w:style w:type="character" w:customStyle="1" w:styleId="FooterChar">
    <w:name w:val="Footer Char"/>
    <w:basedOn w:val="DefaultParagraphFont"/>
    <w:link w:val="Footer"/>
    <w:uiPriority w:val="99"/>
    <w:rsid w:val="00D3782C"/>
    <w:rPr>
      <w:kern w:val="0"/>
      <w:sz w:val="22"/>
      <w:szCs w:val="22"/>
      <w14:ligatures w14:val="none"/>
    </w:rPr>
  </w:style>
  <w:style w:type="character" w:styleId="Hyperlink">
    <w:name w:val="Hyperlink"/>
    <w:basedOn w:val="DefaultParagraphFont"/>
    <w:rsid w:val="00D3782C"/>
    <w:rPr>
      <w:color w:val="467886" w:themeColor="hyperlink"/>
      <w:u w:val="single"/>
    </w:rPr>
  </w:style>
  <w:style w:type="character" w:styleId="CommentReference">
    <w:name w:val="annotation reference"/>
    <w:basedOn w:val="DefaultParagraphFont"/>
    <w:semiHidden/>
    <w:unhideWhenUsed/>
    <w:rsid w:val="00D3782C"/>
    <w:rPr>
      <w:sz w:val="16"/>
      <w:szCs w:val="16"/>
    </w:rPr>
  </w:style>
  <w:style w:type="paragraph" w:styleId="CommentText">
    <w:name w:val="annotation text"/>
    <w:basedOn w:val="Normal"/>
    <w:link w:val="CommentTextChar"/>
    <w:unhideWhenUsed/>
    <w:rsid w:val="00D3782C"/>
    <w:pPr>
      <w:spacing w:line="240" w:lineRule="auto"/>
    </w:pPr>
    <w:rPr>
      <w:sz w:val="20"/>
      <w:szCs w:val="20"/>
    </w:rPr>
  </w:style>
  <w:style w:type="character" w:customStyle="1" w:styleId="CommentTextChar">
    <w:name w:val="Comment Text Char"/>
    <w:basedOn w:val="DefaultParagraphFont"/>
    <w:link w:val="CommentText"/>
    <w:rsid w:val="00D3782C"/>
    <w:rPr>
      <w:kern w:val="0"/>
      <w:sz w:val="20"/>
      <w:szCs w:val="20"/>
      <w14:ligatures w14:val="none"/>
    </w:rPr>
  </w:style>
  <w:style w:type="paragraph" w:styleId="CommentSubject">
    <w:name w:val="annotation subject"/>
    <w:basedOn w:val="CommentText"/>
    <w:next w:val="CommentText"/>
    <w:link w:val="CommentSubjectChar"/>
    <w:semiHidden/>
    <w:unhideWhenUsed/>
    <w:rsid w:val="00D3782C"/>
    <w:rPr>
      <w:b/>
      <w:bCs/>
    </w:rPr>
  </w:style>
  <w:style w:type="character" w:customStyle="1" w:styleId="CommentSubjectChar">
    <w:name w:val="Comment Subject Char"/>
    <w:basedOn w:val="CommentTextChar"/>
    <w:link w:val="CommentSubject"/>
    <w:semiHidden/>
    <w:rsid w:val="00D3782C"/>
    <w:rPr>
      <w:b/>
      <w:bCs/>
      <w:kern w:val="0"/>
      <w:sz w:val="20"/>
      <w:szCs w:val="20"/>
      <w14:ligatures w14:val="none"/>
    </w:rPr>
  </w:style>
  <w:style w:type="numbering" w:customStyle="1" w:styleId="PolicyStyle">
    <w:name w:val="Policy Style"/>
    <w:uiPriority w:val="99"/>
    <w:rsid w:val="00D3782C"/>
    <w:pPr>
      <w:numPr>
        <w:numId w:val="1"/>
      </w:numPr>
    </w:pPr>
  </w:style>
  <w:style w:type="table" w:styleId="TableGrid">
    <w:name w:val="Table Grid"/>
    <w:basedOn w:val="TableNormal"/>
    <w:rsid w:val="00D378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782C"/>
    <w:rPr>
      <w:color w:val="605E5C"/>
      <w:shd w:val="clear" w:color="auto" w:fill="E1DFDD"/>
    </w:rPr>
  </w:style>
  <w:style w:type="paragraph" w:customStyle="1" w:styleId="UPHeading1">
    <w:name w:val="UP Heading 1"/>
    <w:basedOn w:val="Normal"/>
    <w:link w:val="UPHeading1Char"/>
    <w:qFormat/>
    <w:rsid w:val="00D3782C"/>
    <w:pPr>
      <w:pBdr>
        <w:top w:val="single" w:sz="12" w:space="1" w:color="C00000"/>
      </w:pBdr>
      <w:spacing w:before="120" w:line="240" w:lineRule="auto"/>
      <w:outlineLvl w:val="1"/>
    </w:pPr>
    <w:rPr>
      <w:rFonts w:ascii="Arial" w:hAnsi="Arial" w:cs="Arial"/>
      <w:b/>
    </w:rPr>
  </w:style>
  <w:style w:type="character" w:customStyle="1" w:styleId="UPHeading1Char">
    <w:name w:val="UP Heading 1 Char"/>
    <w:basedOn w:val="DefaultParagraphFont"/>
    <w:link w:val="UPHeading1"/>
    <w:rsid w:val="00D3782C"/>
    <w:rPr>
      <w:rFonts w:ascii="Arial" w:hAnsi="Arial" w:cs="Arial"/>
      <w:b/>
      <w:kern w:val="0"/>
      <w:sz w:val="22"/>
      <w:szCs w:val="22"/>
      <w14:ligatures w14:val="none"/>
    </w:rPr>
  </w:style>
  <w:style w:type="paragraph" w:customStyle="1" w:styleId="LevelI">
    <w:name w:val="Level I"/>
    <w:basedOn w:val="ListParagraph"/>
    <w:autoRedefine/>
    <w:qFormat/>
    <w:rsid w:val="00D3782C"/>
    <w:pPr>
      <w:numPr>
        <w:numId w:val="2"/>
      </w:numPr>
      <w:ind w:left="540" w:hanging="540"/>
    </w:pPr>
    <w:rPr>
      <w:b/>
    </w:rPr>
  </w:style>
  <w:style w:type="paragraph" w:customStyle="1" w:styleId="LevelA0">
    <w:name w:val="Level A"/>
    <w:basedOn w:val="ListParagraph"/>
    <w:autoRedefine/>
    <w:qFormat/>
    <w:rsid w:val="00E12136"/>
    <w:pPr>
      <w:numPr>
        <w:numId w:val="3"/>
      </w:numPr>
    </w:pPr>
    <w:rPr>
      <w:rFonts w:cstheme="minorHAnsi"/>
      <w:bCs/>
      <w:color w:val="000000"/>
      <w:lang w:val=""/>
    </w:rPr>
  </w:style>
  <w:style w:type="paragraph" w:customStyle="1" w:styleId="Level10">
    <w:name w:val="Level 1"/>
    <w:basedOn w:val="ListParagraph"/>
    <w:autoRedefine/>
    <w:qFormat/>
    <w:rsid w:val="00D3782C"/>
    <w:pPr>
      <w:numPr>
        <w:numId w:val="4"/>
      </w:numPr>
    </w:pPr>
  </w:style>
  <w:style w:type="paragraph" w:customStyle="1" w:styleId="Levela">
    <w:name w:val="Level a."/>
    <w:basedOn w:val="ListParagraph"/>
    <w:autoRedefine/>
    <w:qFormat/>
    <w:rsid w:val="00D3782C"/>
    <w:pPr>
      <w:numPr>
        <w:numId w:val="5"/>
      </w:numPr>
    </w:pPr>
  </w:style>
  <w:style w:type="paragraph" w:customStyle="1" w:styleId="Level1">
    <w:name w:val="Level (1.)"/>
    <w:basedOn w:val="ListParagraph"/>
    <w:autoRedefine/>
    <w:qFormat/>
    <w:rsid w:val="00D3782C"/>
    <w:pPr>
      <w:numPr>
        <w:numId w:val="6"/>
      </w:numPr>
    </w:pPr>
  </w:style>
  <w:style w:type="paragraph" w:styleId="BodyText">
    <w:name w:val="Body Text"/>
    <w:basedOn w:val="Normal"/>
    <w:link w:val="BodyTextChar"/>
    <w:uiPriority w:val="1"/>
    <w:qFormat/>
    <w:rsid w:val="00D3782C"/>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D3782C"/>
    <w:rPr>
      <w:rFonts w:ascii="Calibri" w:eastAsia="Calibri" w:hAnsi="Calibri" w:cs="Calibri"/>
      <w:kern w:val="0"/>
      <w:sz w:val="20"/>
      <w:szCs w:val="20"/>
      <w14:ligatures w14:val="none"/>
    </w:rPr>
  </w:style>
  <w:style w:type="paragraph" w:styleId="NoSpacing">
    <w:name w:val="No Spacing"/>
    <w:link w:val="NoSpacingChar"/>
    <w:uiPriority w:val="1"/>
    <w:qFormat/>
    <w:rsid w:val="00D3782C"/>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D3782C"/>
    <w:rPr>
      <w:kern w:val="0"/>
      <w:sz w:val="22"/>
      <w:szCs w:val="22"/>
      <w14:ligatures w14:val="none"/>
    </w:rPr>
  </w:style>
  <w:style w:type="paragraph" w:styleId="Header">
    <w:name w:val="header"/>
    <w:basedOn w:val="Normal"/>
    <w:link w:val="HeaderChar"/>
    <w:uiPriority w:val="99"/>
    <w:unhideWhenUsed/>
    <w:rsid w:val="00D3782C"/>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D3782C"/>
    <w:rPr>
      <w:rFonts w:ascii="Calibri" w:eastAsia="Calibri" w:hAnsi="Calibri" w:cs="Calibri"/>
      <w:kern w:val="0"/>
      <w:sz w:val="22"/>
      <w:szCs w:val="22"/>
      <w14:ligatures w14:val="none"/>
    </w:rPr>
  </w:style>
  <w:style w:type="paragraph" w:customStyle="1" w:styleId="Default">
    <w:name w:val="Default"/>
    <w:link w:val="DefaultChar"/>
    <w:rsid w:val="00D3782C"/>
    <w:pPr>
      <w:autoSpaceDE w:val="0"/>
      <w:autoSpaceDN w:val="0"/>
      <w:adjustRightInd w:val="0"/>
      <w:spacing w:after="0" w:line="240" w:lineRule="auto"/>
    </w:pPr>
    <w:rPr>
      <w:rFonts w:ascii="Arial" w:hAnsi="Arial" w:cs="Arial"/>
      <w:color w:val="000000"/>
      <w:kern w:val="0"/>
      <w14:ligatures w14:val="none"/>
    </w:rPr>
  </w:style>
  <w:style w:type="character" w:customStyle="1" w:styleId="DefaultChar">
    <w:name w:val="Default Char"/>
    <w:basedOn w:val="DefaultParagraphFont"/>
    <w:link w:val="Default"/>
    <w:rsid w:val="00D3782C"/>
    <w:rPr>
      <w:rFonts w:ascii="Arial" w:hAnsi="Arial" w:cs="Arial"/>
      <w:color w:val="000000"/>
      <w:kern w:val="0"/>
      <w14:ligatures w14:val="none"/>
    </w:rPr>
  </w:style>
  <w:style w:type="paragraph" w:customStyle="1" w:styleId="PolicyHeader2">
    <w:name w:val="Policy Header 2"/>
    <w:basedOn w:val="Default"/>
    <w:link w:val="PolicyHeader2Char"/>
    <w:qFormat/>
    <w:rsid w:val="00D3782C"/>
    <w:pPr>
      <w:widowControl w:val="0"/>
      <w:pBdr>
        <w:top w:val="single" w:sz="12" w:space="1" w:color="C00000"/>
      </w:pBdr>
    </w:pPr>
    <w:rPr>
      <w:rFonts w:eastAsiaTheme="minorEastAsia"/>
      <w:b/>
      <w:sz w:val="22"/>
      <w:szCs w:val="22"/>
    </w:rPr>
  </w:style>
  <w:style w:type="character" w:customStyle="1" w:styleId="PolicyHeader2Char">
    <w:name w:val="Policy Header 2 Char"/>
    <w:basedOn w:val="DefaultParagraphFont"/>
    <w:link w:val="PolicyHeader2"/>
    <w:rsid w:val="00D3782C"/>
    <w:rPr>
      <w:rFonts w:ascii="Arial" w:eastAsiaTheme="minorEastAsia" w:hAnsi="Arial" w:cs="Arial"/>
      <w:b/>
      <w:color w:val="000000"/>
      <w:kern w:val="0"/>
      <w:sz w:val="22"/>
      <w:szCs w:val="22"/>
      <w14:ligatures w14:val="none"/>
    </w:rPr>
  </w:style>
  <w:style w:type="paragraph" w:customStyle="1" w:styleId="PolicyMultilevelList">
    <w:name w:val="Policy Multilevel List"/>
    <w:basedOn w:val="NoSpacing"/>
    <w:link w:val="PolicyMultilevelListChar"/>
    <w:qFormat/>
    <w:rsid w:val="00D3782C"/>
    <w:rPr>
      <w:rFonts w:ascii="Arial" w:hAnsi="Arial"/>
      <w:b/>
    </w:rPr>
  </w:style>
  <w:style w:type="character" w:customStyle="1" w:styleId="PolicyMultilevelListChar">
    <w:name w:val="Policy Multilevel List Char"/>
    <w:basedOn w:val="NoSpacingChar"/>
    <w:link w:val="PolicyMultilevelList"/>
    <w:rsid w:val="00D3782C"/>
    <w:rPr>
      <w:rFonts w:ascii="Arial" w:hAnsi="Arial"/>
      <w:b/>
      <w:kern w:val="0"/>
      <w:sz w:val="22"/>
      <w:szCs w:val="22"/>
      <w14:ligatures w14:val="none"/>
    </w:rPr>
  </w:style>
  <w:style w:type="paragraph" w:customStyle="1" w:styleId="TableParagraph">
    <w:name w:val="Table Paragraph"/>
    <w:basedOn w:val="Normal"/>
    <w:uiPriority w:val="1"/>
    <w:qFormat/>
    <w:rsid w:val="00D3782C"/>
    <w:pPr>
      <w:widowControl w:val="0"/>
      <w:autoSpaceDE w:val="0"/>
      <w:autoSpaceDN w:val="0"/>
      <w:spacing w:after="0" w:line="240" w:lineRule="auto"/>
    </w:pPr>
    <w:rPr>
      <w:rFonts w:ascii="Calibri" w:eastAsia="Calibri" w:hAnsi="Calibri" w:cs="Calibri"/>
    </w:rPr>
  </w:style>
  <w:style w:type="paragraph" w:customStyle="1" w:styleId="P00Base">
    <w:name w:val="P00_Base"/>
    <w:rsid w:val="00D3782C"/>
    <w:pPr>
      <w:spacing w:after="0" w:line="240" w:lineRule="auto"/>
    </w:pPr>
    <w:rPr>
      <w:rFonts w:ascii="Arial" w:eastAsia="Times New Roman" w:hAnsi="Arial" w:cs="Times New Roman"/>
      <w:kern w:val="0"/>
      <w:sz w:val="20"/>
      <w:szCs w:val="20"/>
      <w14:ligatures w14:val="none"/>
    </w:rPr>
  </w:style>
  <w:style w:type="character" w:styleId="FollowedHyperlink">
    <w:name w:val="FollowedHyperlink"/>
    <w:basedOn w:val="DefaultParagraphFont"/>
    <w:semiHidden/>
    <w:unhideWhenUsed/>
    <w:rsid w:val="00D3782C"/>
    <w:rPr>
      <w:color w:val="96607D" w:themeColor="followedHyperlink"/>
      <w:u w:val="single"/>
    </w:rPr>
  </w:style>
  <w:style w:type="paragraph" w:styleId="Revision">
    <w:name w:val="Revision"/>
    <w:hidden/>
    <w:uiPriority w:val="99"/>
    <w:semiHidden/>
    <w:rsid w:val="00D3782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finance.harvard.edu/pages/org-chart" TargetMode="External"/><Relationship Id="rId18" Type="http://schemas.openxmlformats.org/officeDocument/2006/relationships/hyperlink" Target="https://osp.finance.harvard.edu/service-center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wpi.harvard.edu/internalcontrols/business-cycle-controls-matrices" TargetMode="External"/><Relationship Id="rId17" Type="http://schemas.openxmlformats.org/officeDocument/2006/relationships/hyperlink" Target="https://research.harvard.edu/research-policies-compliance/export-control-policies-procedur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oc.finance.harvard.edu/resources/forms-and-templates" TargetMode="External"/><Relationship Id="rId20" Type="http://schemas.openxmlformats.org/officeDocument/2006/relationships/hyperlink" Target="https://www.ehs.harvard.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ies.fad.harvard.edu/accounting-internally-developed-softwar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olicies.fad.harvard.edu/accounting-internally-developed-softwar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licies.fad.harvard.edu/accounting-internally-developed-softw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olicies.fad.harvard.edu/accounting-lease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4F1C1D1B19F74C917C8617E2F071DA" ma:contentTypeVersion="10" ma:contentTypeDescription="Create a new document." ma:contentTypeScope="" ma:versionID="1012c805fdba53c7724a2be9599482b4">
  <xsd:schema xmlns:xsd="http://www.w3.org/2001/XMLSchema" xmlns:xs="http://www.w3.org/2001/XMLSchema" xmlns:p="http://schemas.microsoft.com/office/2006/metadata/properties" xmlns:ns2="303b9bec-6670-4f9c-88b5-934c2fa8abae" xmlns:ns3="fa4a6c43-a158-4316-a2c8-c156cd11b2b5" targetNamespace="http://schemas.microsoft.com/office/2006/metadata/properties" ma:root="true" ma:fieldsID="b407e15b1c574c67b4e8772abbb993d1" ns2:_="" ns3:_="">
    <xsd:import namespace="303b9bec-6670-4f9c-88b5-934c2fa8abae"/>
    <xsd:import namespace="fa4a6c43-a158-4316-a2c8-c156cd11b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9bec-6670-4f9c-88b5-934c2fa8a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a6c43-a158-4316-a2c8-c156cd11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8AE03-86B2-4CA4-BD3A-E8BC00445D9D}">
  <ds:schemaRefs>
    <ds:schemaRef ds:uri="http://schemas.microsoft.com/sharepoint/v3/contenttype/forms"/>
  </ds:schemaRefs>
</ds:datastoreItem>
</file>

<file path=customXml/itemProps2.xml><?xml version="1.0" encoding="utf-8"?>
<ds:datastoreItem xmlns:ds="http://schemas.openxmlformats.org/officeDocument/2006/customXml" ds:itemID="{22D0865C-9AE7-4AB2-AC15-40CE29613383}">
  <ds:schemaRefs>
    <ds:schemaRef ds:uri="http://purl.org/dc/dcmitype/"/>
    <ds:schemaRef ds:uri="http://schemas.microsoft.com/office/2006/documentManagement/types"/>
    <ds:schemaRef ds:uri="http://schemas.openxmlformats.org/package/2006/metadata/core-properties"/>
    <ds:schemaRef ds:uri="http://purl.org/dc/elements/1.1/"/>
    <ds:schemaRef ds:uri="303b9bec-6670-4f9c-88b5-934c2fa8abae"/>
    <ds:schemaRef ds:uri="http://www.w3.org/XML/1998/namespace"/>
    <ds:schemaRef ds:uri="http://schemas.microsoft.com/office/infopath/2007/PartnerControls"/>
    <ds:schemaRef ds:uri="fa4a6c43-a158-4316-a2c8-c156cd11b2b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DCA4500-320B-48E9-99A4-AA5E8DA8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b9bec-6670-4f9c-88b5-934c2fa8abae"/>
    <ds:schemaRef ds:uri="fa4a6c43-a158-4316-a2c8-c156cd11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39274-B76B-4618-9BC8-F4145E18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6472</Words>
  <Characters>36894</Characters>
  <Application>Microsoft Office Word</Application>
  <DocSecurity>8</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McKetchnie, Gregory</dc:creator>
  <cp:keywords/>
  <dc:description/>
  <cp:lastModifiedBy>Kittredge, Karen J.</cp:lastModifiedBy>
  <cp:revision>9</cp:revision>
  <cp:lastPrinted>2025-08-06T15:54:00Z</cp:lastPrinted>
  <dcterms:created xsi:type="dcterms:W3CDTF">2025-08-06T15:26:00Z</dcterms:created>
  <dcterms:modified xsi:type="dcterms:W3CDTF">2025-08-07T13:47:00Z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0x010100124F1C1D1B19F74C917C8617E2F071DA</vt:lpwstr>
  </property>
  <property fmtid="{D5CDD505-2E9C-101B-9397-08002B2CF9AE}" pid="3" name="MediaServiceImageTags">
    <vt:lpwstr/>
  </property>
</Properties>
</file>