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E1B3" w14:textId="3F2103B7" w:rsidR="00D3782C" w:rsidRPr="00A11EDD" w:rsidRDefault="00D3782C" w:rsidP="00A11EDD">
      <w:pPr>
        <w:jc w:val="center"/>
        <w:rPr>
          <w:rFonts w:ascii="Arial" w:hAnsi="Arial" w:cs="Arial"/>
          <w:sz w:val="28"/>
          <w:szCs w:val="28"/>
        </w:rPr>
      </w:pPr>
      <w:bookmarkStart w:id="0" w:name="Appendix_A"/>
      <w:r w:rsidRPr="00A11EDD">
        <w:rPr>
          <w:rFonts w:ascii="Arial" w:hAnsi="Arial" w:cs="Arial"/>
          <w:sz w:val="28"/>
          <w:szCs w:val="28"/>
        </w:rPr>
        <w:t>Appendix A</w:t>
      </w:r>
      <w:bookmarkEnd w:id="0"/>
      <w:r w:rsidRPr="00A11EDD">
        <w:rPr>
          <w:rFonts w:ascii="Arial" w:hAnsi="Arial" w:cs="Arial"/>
          <w:sz w:val="28"/>
          <w:szCs w:val="28"/>
        </w:rPr>
        <w:t>: Summary of Policy for Capital Equipment in for Areas with Sponsored Research</w:t>
      </w:r>
    </w:p>
    <w:p w14:paraId="793676E7" w14:textId="77777777" w:rsidR="00D3782C" w:rsidRPr="00E2249A" w:rsidRDefault="00D3782C" w:rsidP="00D3782C">
      <w:pPr>
        <w:rPr>
          <w:sz w:val="12"/>
          <w:szCs w:val="12"/>
        </w:rPr>
      </w:pPr>
      <w:r w:rsidRPr="00E2249A">
        <w:rPr>
          <w:noProof/>
          <w:sz w:val="12"/>
          <w:szCs w:val="12"/>
        </w:rPr>
        <mc:AlternateContent>
          <mc:Choice Requires="wps">
            <w:drawing>
              <wp:anchor distT="0" distB="0" distL="114300" distR="114300" simplePos="0" relativeHeight="251658240" behindDoc="0" locked="0" layoutInCell="1" allowOverlap="1" wp14:anchorId="0DE37A8D" wp14:editId="6AE11C0E">
                <wp:simplePos x="0" y="0"/>
                <wp:positionH relativeFrom="column">
                  <wp:posOffset>31750</wp:posOffset>
                </wp:positionH>
                <wp:positionV relativeFrom="paragraph">
                  <wp:posOffset>38100</wp:posOffset>
                </wp:positionV>
                <wp:extent cx="5924550" cy="0"/>
                <wp:effectExtent l="0" t="0" r="0" b="0"/>
                <wp:wrapNone/>
                <wp:docPr id="165044149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8798975" id="Straight Connector 1"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pt,3pt" to="4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" strokecolor="#e97132 [3205]" strokeweight="1.5pt">
                <v:stroke joinstyle="miter"/>
              </v:line>
            </w:pict>
          </mc:Fallback>
        </mc:AlternateContent>
      </w:r>
    </w:p>
    <w:p w14:paraId="397C64D1" w14:textId="77777777" w:rsidR="00D3782C" w:rsidRPr="00FC0DF3" w:rsidRDefault="00D3782C" w:rsidP="00D3782C">
      <w:pPr>
        <w:jc w:val="both"/>
        <w:rPr>
          <w:rFonts w:cs="Times New Roman"/>
        </w:rPr>
      </w:pPr>
      <w:r w:rsidRPr="00FC0DF3">
        <w:rPr>
          <w:rFonts w:cs="Times New Roman"/>
        </w:rPr>
        <w:t xml:space="preserve">Note: This Appendix summarizes the guidance in the </w:t>
      </w:r>
      <w:hyperlink w:anchor="PPE_Policy" w:history="1">
        <w:r w:rsidRPr="00FC0DF3">
          <w:rPr>
            <w:rStyle w:val="Hyperlink"/>
            <w:rFonts w:cs="Times New Roman"/>
          </w:rPr>
          <w:t>Financial Management of Property, Plant and Equipment Policy</w:t>
        </w:r>
      </w:hyperlink>
      <w:r w:rsidRPr="00FC0DF3">
        <w:rPr>
          <w:rFonts w:cs="Times New Roman"/>
        </w:rPr>
        <w:t xml:space="preserve"> that specifically relates to areas with sponsored research. The various accounting and system requirements that relate to all equipment at Harvard are found in the Financial Management of Property, Plant and Equipment Policy. </w:t>
      </w:r>
    </w:p>
    <w:p w14:paraId="74348B27" w14:textId="77777777" w:rsidR="00D3782C" w:rsidRPr="006516A0" w:rsidRDefault="00D3782C" w:rsidP="00D3782C">
      <w:pPr>
        <w:pStyle w:val="UPHeading1"/>
      </w:pPr>
      <w:r w:rsidRPr="006516A0">
        <w:t>Policy Statement</w:t>
      </w:r>
    </w:p>
    <w:p w14:paraId="1ECB4038" w14:textId="77777777" w:rsidR="00D3782C" w:rsidRPr="003E5F86" w:rsidRDefault="00D3782C" w:rsidP="00D3782C">
      <w:r w:rsidRPr="003E5F86">
        <w:t>Capital equipment is the property of Harvard University or a sponsor</w:t>
      </w:r>
      <w:r>
        <w:t>, not the faculty</w:t>
      </w:r>
      <w:r w:rsidRPr="003E5F86">
        <w:t>, department, school or unit. Capital equipment should be safeguarded and used for University programs and purposes.</w:t>
      </w:r>
    </w:p>
    <w:p w14:paraId="766B714B" w14:textId="77777777" w:rsidR="00D3782C" w:rsidRPr="003E5F86" w:rsidRDefault="00D3782C" w:rsidP="00D3782C">
      <w:r w:rsidRPr="003E5F86">
        <w:rPr>
          <w:bCs/>
        </w:rPr>
        <w:t xml:space="preserve">This </w:t>
      </w:r>
      <w:r>
        <w:rPr>
          <w:bCs/>
        </w:rPr>
        <w:t>a</w:t>
      </w:r>
      <w:r w:rsidRPr="003E5F86">
        <w:rPr>
          <w:bCs/>
        </w:rPr>
        <w:t xml:space="preserve">ppendix, as part of the </w:t>
      </w:r>
      <w:r w:rsidRPr="006E43AE">
        <w:rPr>
          <w:rFonts w:cs="Times New Roman"/>
          <w:bCs/>
        </w:rPr>
        <w:t>Financial Management of Property, Plant and Equipment Policy</w:t>
      </w:r>
      <w:r w:rsidRPr="00DF44D3">
        <w:rPr>
          <w:bCs/>
        </w:rPr>
        <w:t>, summarizes</w:t>
      </w:r>
      <w:r w:rsidRPr="003E5F86">
        <w:rPr>
          <w:bCs/>
        </w:rPr>
        <w:t xml:space="preserve"> the required treatment of capital equipment in any area that has</w:t>
      </w:r>
      <w:r>
        <w:rPr>
          <w:bCs/>
        </w:rPr>
        <w:t xml:space="preserve"> sponsored</w:t>
      </w:r>
      <w:r w:rsidRPr="003E5F86">
        <w:rPr>
          <w:bCs/>
        </w:rPr>
        <w:t xml:space="preserve"> research. </w:t>
      </w:r>
      <w:r w:rsidRPr="003E5F86">
        <w:rPr>
          <w:rFonts w:eastAsiaTheme="minorEastAsia"/>
        </w:rPr>
        <w:t>If direction differs between this policy and external regulations, sponsor or donor terms, or other internal policy or procedures, the more restrictive instruction will apply.</w:t>
      </w:r>
    </w:p>
    <w:p w14:paraId="12E638FE" w14:textId="77777777" w:rsidR="00D3782C" w:rsidRPr="00211F87" w:rsidRDefault="00D3782C" w:rsidP="00D3782C">
      <w:pPr>
        <w:rPr>
          <w:sz w:val="16"/>
          <w:szCs w:val="16"/>
        </w:rPr>
      </w:pPr>
      <w:r w:rsidRPr="003E5F86">
        <w:t xml:space="preserve">As in the case with all expenditures, </w:t>
      </w:r>
      <w:r>
        <w:t>areas</w:t>
      </w:r>
      <w:r w:rsidRPr="003E5F86">
        <w:t xml:space="preserve"> should confirm prior to the purchase of property, plant and equipment that it is allocable and allowable if restricted or sponsored funding is being used for the purchase.</w:t>
      </w:r>
    </w:p>
    <w:p w14:paraId="25252DBC" w14:textId="77777777" w:rsidR="00D3782C" w:rsidRPr="00BD65F8" w:rsidRDefault="00D3782C" w:rsidP="00D3782C">
      <w:pPr>
        <w:pStyle w:val="UPHeading1"/>
      </w:pPr>
      <w:r>
        <w:t>Reason for Policy</w:t>
      </w:r>
    </w:p>
    <w:p w14:paraId="1E584763" w14:textId="77777777" w:rsidR="00D3782C" w:rsidRPr="003E5F86" w:rsidRDefault="00D3782C" w:rsidP="00D3782C">
      <w:r w:rsidRPr="003E5F86">
        <w:t xml:space="preserve">The University receives </w:t>
      </w:r>
      <w:r>
        <w:t xml:space="preserve">external </w:t>
      </w:r>
      <w:r w:rsidRPr="003E5F86">
        <w:t xml:space="preserve">funding </w:t>
      </w:r>
      <w:r>
        <w:t>from federal and non-federal sponsors</w:t>
      </w:r>
      <w:r w:rsidRPr="003E5F86">
        <w:t xml:space="preserve"> </w:t>
      </w:r>
      <w:r>
        <w:t xml:space="preserve">and </w:t>
      </w:r>
      <w:r w:rsidRPr="003E5F86">
        <w:t>must classify, safeguard, depreciate and retire equipment accordingly. In addition, certain sponsors may have capital equipment requirements in the terms and conditions of the award.</w:t>
      </w:r>
    </w:p>
    <w:p w14:paraId="3BB75C62" w14:textId="77777777" w:rsidR="00D3782C" w:rsidRPr="003E5F86" w:rsidRDefault="00D3782C" w:rsidP="00D3782C">
      <w:r w:rsidRPr="003E5F86">
        <w:t xml:space="preserve">Federal </w:t>
      </w:r>
      <w:r>
        <w:t>r</w:t>
      </w:r>
      <w:r w:rsidRPr="003E5F86">
        <w:t>egulations include:</w:t>
      </w:r>
    </w:p>
    <w:p w14:paraId="045FF705" w14:textId="77777777" w:rsidR="00D3782C" w:rsidRPr="00491B52" w:rsidRDefault="00D3782C" w:rsidP="00D3782C">
      <w:pPr>
        <w:pStyle w:val="ListParagraph"/>
        <w:numPr>
          <w:ilvl w:val="0"/>
          <w:numId w:val="17"/>
        </w:numPr>
        <w:rPr>
          <w:color w:val="000000" w:themeColor="text1"/>
        </w:rPr>
      </w:pPr>
      <w:r w:rsidRPr="00491B52">
        <w:rPr>
          <w:color w:val="000000" w:themeColor="text1"/>
        </w:rPr>
        <w:t xml:space="preserve">Office of Management and Budget (OMB) Uniform Administrative Requirements, Cost Principles, and Audit Requirements for Federal Awards, </w:t>
      </w:r>
      <w:hyperlink r:id="rId11" w:anchor="se2.1.200_1312" w:history="1">
        <w:r w:rsidRPr="00491B52">
          <w:rPr>
            <w:rStyle w:val="Hyperlink"/>
            <w:rFonts w:cs="Times New Roman"/>
          </w:rPr>
          <w:t>2 CFR 200.312</w:t>
        </w:r>
      </w:hyperlink>
      <w:r w:rsidRPr="00491B52">
        <w:rPr>
          <w:color w:val="000000" w:themeColor="text1"/>
        </w:rPr>
        <w:t xml:space="preserve">; </w:t>
      </w:r>
      <w:hyperlink r:id="rId12" w:anchor="se2.1.200_1313" w:history="1">
        <w:r w:rsidRPr="00491B52">
          <w:rPr>
            <w:rStyle w:val="Hyperlink"/>
            <w:rFonts w:cs="Times New Roman"/>
          </w:rPr>
          <w:t>200.313</w:t>
        </w:r>
      </w:hyperlink>
      <w:r w:rsidRPr="00491B52">
        <w:rPr>
          <w:color w:val="000000" w:themeColor="text1"/>
        </w:rPr>
        <w:t xml:space="preserve">; </w:t>
      </w:r>
      <w:hyperlink r:id="rId13" w:anchor="se2.1.200_1436" w:history="1">
        <w:r w:rsidRPr="00491B52">
          <w:rPr>
            <w:rStyle w:val="Hyperlink"/>
            <w:rFonts w:cs="Times New Roman"/>
          </w:rPr>
          <w:t>200.436</w:t>
        </w:r>
      </w:hyperlink>
      <w:r w:rsidRPr="00491B52">
        <w:rPr>
          <w:color w:val="000000" w:themeColor="text1"/>
        </w:rPr>
        <w:t xml:space="preserve">  (Uniform Guidance)</w:t>
      </w:r>
    </w:p>
    <w:p w14:paraId="70941F01" w14:textId="77777777" w:rsidR="00D3782C" w:rsidRPr="00491B52" w:rsidRDefault="00D3782C" w:rsidP="00D3782C">
      <w:pPr>
        <w:pStyle w:val="ListParagraph"/>
        <w:numPr>
          <w:ilvl w:val="0"/>
          <w:numId w:val="17"/>
        </w:numPr>
        <w:rPr>
          <w:color w:val="000000" w:themeColor="text1"/>
        </w:rPr>
      </w:pPr>
      <w:r w:rsidRPr="00491B52">
        <w:rPr>
          <w:color w:val="000000" w:themeColor="text1"/>
        </w:rPr>
        <w:t xml:space="preserve">Federal Acquisition Regulations (FAR), </w:t>
      </w:r>
      <w:hyperlink r:id="rId14" w:history="1">
        <w:r w:rsidRPr="00491B52">
          <w:rPr>
            <w:rStyle w:val="Hyperlink"/>
            <w:rFonts w:cs="Times New Roman"/>
          </w:rPr>
          <w:t>parts 45</w:t>
        </w:r>
      </w:hyperlink>
      <w:r w:rsidRPr="00491B52">
        <w:rPr>
          <w:color w:val="000000" w:themeColor="text1"/>
        </w:rPr>
        <w:t xml:space="preserve"> and </w:t>
      </w:r>
      <w:hyperlink r:id="rId15" w:anchor="se48.2.52_1245_61" w:history="1">
        <w:r w:rsidRPr="00491B52">
          <w:rPr>
            <w:rStyle w:val="Hyperlink"/>
            <w:rFonts w:cs="Times New Roman"/>
          </w:rPr>
          <w:t>52.245</w:t>
        </w:r>
      </w:hyperlink>
    </w:p>
    <w:p w14:paraId="7D765F4C" w14:textId="77777777" w:rsidR="00D3782C" w:rsidRPr="00491B52" w:rsidRDefault="00D3782C" w:rsidP="00D3782C">
      <w:pPr>
        <w:pStyle w:val="ListParagraph"/>
        <w:numPr>
          <w:ilvl w:val="0"/>
          <w:numId w:val="17"/>
        </w:numPr>
        <w:rPr>
          <w:color w:val="000000" w:themeColor="text1"/>
        </w:rPr>
      </w:pPr>
      <w:hyperlink r:id="rId16" w:anchor="0" w:history="1">
        <w:r w:rsidRPr="00491B52">
          <w:rPr>
            <w:rStyle w:val="Hyperlink"/>
            <w:rFonts w:eastAsia="Times New Roman" w:cs="Times New Roman"/>
          </w:rPr>
          <w:t>Defense Federal Acquisition Regulation Supplement (DFARS)</w:t>
        </w:r>
      </w:hyperlink>
    </w:p>
    <w:p w14:paraId="4132E337" w14:textId="77777777" w:rsidR="00D3782C" w:rsidRPr="00491B52" w:rsidRDefault="00D3782C" w:rsidP="00D3782C">
      <w:pPr>
        <w:pStyle w:val="ListParagraph"/>
        <w:numPr>
          <w:ilvl w:val="0"/>
          <w:numId w:val="17"/>
        </w:numPr>
        <w:rPr>
          <w:color w:val="000000" w:themeColor="text1"/>
        </w:rPr>
      </w:pPr>
      <w:hyperlink r:id="rId17" w:history="1">
        <w:r w:rsidRPr="00491B52">
          <w:rPr>
            <w:rStyle w:val="Hyperlink"/>
            <w:rFonts w:eastAsia="Times New Roman" w:cs="Times New Roman"/>
          </w:rPr>
          <w:t>Department of Energy Financial Management Handbook</w:t>
        </w:r>
      </w:hyperlink>
      <w:r w:rsidRPr="00491B52">
        <w:rPr>
          <w:color w:val="000000" w:themeColor="text1"/>
        </w:rPr>
        <w:t>, Chapter 10</w:t>
      </w:r>
    </w:p>
    <w:p w14:paraId="58439184" w14:textId="77777777" w:rsidR="00D3782C" w:rsidRPr="009D727C" w:rsidRDefault="00D3782C" w:rsidP="00D3782C">
      <w:pPr>
        <w:pStyle w:val="ListParagraph"/>
        <w:numPr>
          <w:ilvl w:val="0"/>
          <w:numId w:val="17"/>
        </w:numPr>
        <w:rPr>
          <w:sz w:val="16"/>
          <w:szCs w:val="16"/>
        </w:rPr>
      </w:pPr>
      <w:r w:rsidRPr="003E5F86">
        <w:t>purchase.</w:t>
      </w:r>
    </w:p>
    <w:p w14:paraId="33325B4E" w14:textId="77777777" w:rsidR="00D3782C" w:rsidRPr="00BD65F8" w:rsidRDefault="00D3782C" w:rsidP="00D3782C">
      <w:pPr>
        <w:pStyle w:val="UPHeading1"/>
      </w:pPr>
      <w:r>
        <w:t>Who Must Comply</w:t>
      </w:r>
    </w:p>
    <w:p w14:paraId="2DE59DD2" w14:textId="77777777" w:rsidR="00D3782C" w:rsidRPr="009D727C" w:rsidRDefault="00D3782C" w:rsidP="00D3782C">
      <w:pPr>
        <w:rPr>
          <w:sz w:val="20"/>
        </w:rPr>
      </w:pPr>
      <w:r w:rsidRPr="003E5F86">
        <w:rPr>
          <w:sz w:val="20"/>
        </w:rPr>
        <w:t>All areas must comply with the</w:t>
      </w:r>
      <w:r w:rsidRPr="003E5F86">
        <w:rPr>
          <w:rFonts w:cs="Times New Roman"/>
          <w:bCs/>
          <w:sz w:val="20"/>
        </w:rPr>
        <w:t xml:space="preserve"> </w:t>
      </w:r>
      <w:hyperlink r:id="rId18" w:history="1">
        <w:r w:rsidRPr="003E5F86">
          <w:rPr>
            <w:rStyle w:val="Hyperlink"/>
            <w:rFonts w:cs="Times New Roman"/>
            <w:bCs/>
          </w:rPr>
          <w:t>Financial Management of Property, Plant and Equipment Policy</w:t>
        </w:r>
      </w:hyperlink>
      <w:r w:rsidRPr="003E5F86">
        <w:rPr>
          <w:sz w:val="20"/>
        </w:rPr>
        <w:t xml:space="preserve"> and areas with </w:t>
      </w:r>
      <w:r w:rsidRPr="003E68F8">
        <w:rPr>
          <w:sz w:val="20"/>
        </w:rPr>
        <w:t>sponsored resea</w:t>
      </w:r>
      <w:r w:rsidRPr="003E5F86">
        <w:rPr>
          <w:sz w:val="20"/>
        </w:rPr>
        <w:t>rch must comply with this Appendix A</w:t>
      </w:r>
      <w:r>
        <w:rPr>
          <w:sz w:val="20"/>
        </w:rPr>
        <w:t xml:space="preserve">. </w:t>
      </w:r>
      <w:r w:rsidRPr="003E5F86">
        <w:rPr>
          <w:sz w:val="20"/>
        </w:rPr>
        <w:t xml:space="preserve">Areas are defined as </w:t>
      </w:r>
      <w:r w:rsidRPr="003E5F86">
        <w:rPr>
          <w:rFonts w:cstheme="minorHAnsi"/>
          <w:sz w:val="20"/>
        </w:rPr>
        <w:t xml:space="preserve">all Harvard University schools, </w:t>
      </w:r>
      <w:r>
        <w:rPr>
          <w:rFonts w:cstheme="minorHAnsi"/>
          <w:sz w:val="20"/>
        </w:rPr>
        <w:t>school or unit</w:t>
      </w:r>
      <w:r w:rsidRPr="003E5F86">
        <w:rPr>
          <w:rFonts w:cstheme="minorHAnsi"/>
          <w:sz w:val="20"/>
        </w:rPr>
        <w:t>s, and local units, Allied Institutions and University-wide Initiatives</w:t>
      </w:r>
      <w:r w:rsidRPr="003E5F86">
        <w:rPr>
          <w:sz w:val="20"/>
        </w:rPr>
        <w:t>.</w:t>
      </w:r>
    </w:p>
    <w:p w14:paraId="5CE45D00" w14:textId="77777777" w:rsidR="00D3782C" w:rsidRPr="0001505E" w:rsidRDefault="00D3782C" w:rsidP="00D3782C">
      <w:pPr>
        <w:pStyle w:val="PolicyHeader2"/>
      </w:pPr>
      <w:r w:rsidRPr="0001505E">
        <w:t>Procedures</w:t>
      </w:r>
    </w:p>
    <w:p w14:paraId="3FD0AF6D" w14:textId="77777777" w:rsidR="00D3782C" w:rsidRPr="003E5F86" w:rsidRDefault="00D3782C" w:rsidP="00D3782C">
      <w:pPr>
        <w:rPr>
          <w:rFonts w:cstheme="minorHAnsi"/>
          <w:sz w:val="18"/>
          <w:szCs w:val="20"/>
        </w:rPr>
      </w:pPr>
      <w:r w:rsidRPr="003E5F86">
        <w:rPr>
          <w:rFonts w:cstheme="minorHAnsi"/>
          <w:sz w:val="20"/>
        </w:rPr>
        <w:t xml:space="preserve">The following procedures relate to acquisition, recording, retirement, and disposition of equipment in areas with research. </w:t>
      </w:r>
    </w:p>
    <w:p w14:paraId="43E6CE0D" w14:textId="77777777" w:rsidR="00D3782C" w:rsidRDefault="00D3782C" w:rsidP="00D3782C">
      <w:pPr>
        <w:pStyle w:val="LevelI"/>
        <w:numPr>
          <w:ilvl w:val="0"/>
          <w:numId w:val="18"/>
        </w:numPr>
      </w:pPr>
      <w:r w:rsidRPr="009A16E5">
        <w:t>Acquisition</w:t>
      </w:r>
      <w:r w:rsidRPr="00211F87">
        <w:t>/Purchase</w:t>
      </w:r>
    </w:p>
    <w:p w14:paraId="087BA051" w14:textId="77777777" w:rsidR="00D3782C" w:rsidRPr="009A16E5" w:rsidRDefault="00D3782C" w:rsidP="00D3782C">
      <w:pPr>
        <w:ind w:left="576"/>
      </w:pPr>
      <w:r w:rsidRPr="009A16E5">
        <w:t>When using federal funds, areas acquisitions must meet the following:</w:t>
      </w:r>
    </w:p>
    <w:p w14:paraId="09C203DE" w14:textId="77777777" w:rsidR="00D3782C" w:rsidRDefault="00D3782C" w:rsidP="4EF386F1">
      <w:pPr>
        <w:pStyle w:val="LevelA0"/>
      </w:pPr>
      <w:r w:rsidRPr="4EF386F1">
        <w:rPr>
          <w:lang w:val="en-US"/>
        </w:rPr>
        <w:t>Requirements from Section II of the Financial Management of Property, Plant and Equipment (PPE) Policy and any additional specific sponsor requirements.</w:t>
      </w:r>
    </w:p>
    <w:p w14:paraId="731B1737" w14:textId="77777777" w:rsidR="00D3782C" w:rsidRDefault="00D3782C" w:rsidP="00E12136">
      <w:pPr>
        <w:pStyle w:val="LevelA0"/>
      </w:pPr>
      <w:hyperlink w:anchor="Appendix_B_Details_to_CAP">
        <w:r w:rsidRPr="7670CC61">
          <w:rPr>
            <w:rStyle w:val="Hyperlink"/>
            <w:lang w:val="en-US"/>
          </w:rPr>
          <w:t>Appendix B</w:t>
        </w:r>
      </w:hyperlink>
      <w:r w:rsidRPr="7670CC61">
        <w:t xml:space="preserve"> for information on the types of costs that may be capitalized as equipment versus those costs that must be expensed separately. This includes information on both equipment acquired by purchase, multi-component equipment and capitalization of lab space. Generally, Harvard labor costs which are outside of a service center cannot be capitalized on sponsored awards unless the sponsor terms and conditions explicitly state that the award must be a capital project.</w:t>
      </w:r>
    </w:p>
    <w:p w14:paraId="71568254" w14:textId="77777777" w:rsidR="00D3782C" w:rsidRPr="009D7564" w:rsidRDefault="00D3782C" w:rsidP="00E12136">
      <w:pPr>
        <w:pStyle w:val="LevelA0"/>
      </w:pPr>
      <w:hyperlink r:id="rId19">
        <w:r w:rsidRPr="7670CC61">
          <w:rPr>
            <w:rStyle w:val="Hyperlink"/>
            <w:lang w:val="en-US"/>
          </w:rPr>
          <w:t>Uniform Guidance</w:t>
        </w:r>
      </w:hyperlink>
      <w:r w:rsidRPr="7670CC61">
        <w:rPr>
          <w:lang w:val="en-US"/>
        </w:rPr>
        <w:t xml:space="preserve"> and</w:t>
      </w:r>
      <w:hyperlink r:id="rId20">
        <w:r w:rsidRPr="7670CC61">
          <w:rPr>
            <w:rStyle w:val="Hyperlink"/>
            <w:rFonts w:ascii="Calibri" w:hAnsi="Calibri"/>
            <w:lang w:val="en-US"/>
          </w:rPr>
          <w:t xml:space="preserve"> </w:t>
        </w:r>
        <w:r w:rsidRPr="7670CC61">
          <w:rPr>
            <w:rStyle w:val="Hyperlink"/>
            <w:lang w:val="en-US"/>
          </w:rPr>
          <w:t>Procurement Policy</w:t>
        </w:r>
      </w:hyperlink>
      <w:r w:rsidRPr="7670CC61">
        <w:rPr>
          <w:lang w:val="en-US"/>
        </w:rPr>
        <w:t xml:space="preserve"> regarding contractor selection justification requirements.</w:t>
      </w:r>
    </w:p>
    <w:p w14:paraId="1ED2B958" w14:textId="77777777" w:rsidR="00D3782C" w:rsidRDefault="00D3782C" w:rsidP="00D3782C">
      <w:pPr>
        <w:pStyle w:val="LevelI"/>
      </w:pPr>
      <w:bookmarkStart w:id="1" w:name="Appendix_A_Fabrications"/>
      <w:r w:rsidRPr="009D7564">
        <w:t>Fabrications</w:t>
      </w:r>
      <w:bookmarkEnd w:id="1"/>
      <w:r w:rsidRPr="009D7564">
        <w:t xml:space="preserve"> – Work in Progress (WIP)</w:t>
      </w:r>
    </w:p>
    <w:p w14:paraId="151D1CF1" w14:textId="77777777" w:rsidR="00D3782C" w:rsidRPr="009911E3" w:rsidRDefault="00D3782C" w:rsidP="00D3782C">
      <w:pPr>
        <w:ind w:left="576"/>
      </w:pPr>
      <w:r w:rsidRPr="004C0F1F">
        <w:t>Refe</w:t>
      </w:r>
      <w:r w:rsidRPr="00DF475E">
        <w:t>r to</w:t>
      </w:r>
      <w:r w:rsidRPr="00DF475E">
        <w:rPr>
          <w:b/>
        </w:rPr>
        <w:t xml:space="preserve"> </w:t>
      </w:r>
      <w:hyperlink w:anchor="Appendix_B_Details_to_CAP" w:history="1">
        <w:r w:rsidRPr="00DF475E">
          <w:rPr>
            <w:rStyle w:val="Hyperlink"/>
            <w:rFonts w:cstheme="minorHAnsi"/>
            <w:bCs/>
            <w:szCs w:val="20"/>
          </w:rPr>
          <w:t>Appendix B</w:t>
        </w:r>
      </w:hyperlink>
      <w:r w:rsidRPr="00DF475E">
        <w:t xml:space="preserve"> for detail</w:t>
      </w:r>
      <w:r>
        <w:t>ed information on Equipment Fabrications, including how to determine if your project qualifies for capitalization or if it needs to be expensed</w:t>
      </w:r>
      <w:r w:rsidRPr="00B024D7">
        <w:t xml:space="preserve"> </w:t>
      </w:r>
      <w:r>
        <w:t xml:space="preserve">separately. </w:t>
      </w:r>
      <w:r w:rsidRPr="00A04129">
        <w:t xml:space="preserve">See also </w:t>
      </w:r>
      <w:hyperlink w:anchor="Appendix_G_FabricationFlowChart" w:history="1">
        <w:r w:rsidRPr="00A04129">
          <w:rPr>
            <w:rStyle w:val="Hyperlink"/>
            <w:rFonts w:ascii="Calibri" w:hAnsi="Calibri" w:cstheme="minorHAnsi"/>
            <w:bCs/>
            <w:szCs w:val="20"/>
          </w:rPr>
          <w:t xml:space="preserve">Appendix </w:t>
        </w:r>
        <w:r>
          <w:rPr>
            <w:rStyle w:val="Hyperlink"/>
            <w:rFonts w:ascii="Calibri" w:hAnsi="Calibri" w:cstheme="minorHAnsi"/>
            <w:bCs/>
            <w:szCs w:val="20"/>
          </w:rPr>
          <w:t>F</w:t>
        </w:r>
        <w:r w:rsidRPr="00A04129">
          <w:rPr>
            <w:rStyle w:val="Hyperlink"/>
            <w:rFonts w:ascii="Calibri" w:hAnsi="Calibri" w:cstheme="minorHAnsi"/>
            <w:bCs/>
            <w:szCs w:val="20"/>
          </w:rPr>
          <w:t xml:space="preserve"> – Fabrications Flowchart.</w:t>
        </w:r>
      </w:hyperlink>
    </w:p>
    <w:p w14:paraId="18EC1754" w14:textId="77777777" w:rsidR="00D3782C" w:rsidRDefault="00D3782C" w:rsidP="00D3782C">
      <w:pPr>
        <w:ind w:left="576"/>
      </w:pPr>
      <w:r w:rsidRPr="00A955EE">
        <w:t>Fabricat</w:t>
      </w:r>
      <w:r>
        <w:t>ions are</w:t>
      </w:r>
      <w:r w:rsidRPr="00A955EE">
        <w:t xml:space="preserve"> exc</w:t>
      </w:r>
      <w:r>
        <w:t>luded from indirect costs.</w:t>
      </w:r>
    </w:p>
    <w:p w14:paraId="3447B9D3" w14:textId="77777777" w:rsidR="00D3782C" w:rsidRDefault="00D3782C" w:rsidP="00D3782C">
      <w:pPr>
        <w:ind w:left="576"/>
      </w:pPr>
      <w:r w:rsidRPr="00B80B12">
        <w:t xml:space="preserve">All sponsored WIP must be reviewed every 6 months. If an award is scheduled to close, but the WIP remains open, a justification </w:t>
      </w:r>
      <w:proofErr w:type="gramStart"/>
      <w:r w:rsidRPr="00B80B12">
        <w:t>required</w:t>
      </w:r>
      <w:proofErr w:type="gramEnd"/>
      <w:r w:rsidRPr="00B80B12">
        <w:t xml:space="preserve"> as to why the WIP will remain open. The open WIP may need to be moved onto a new account string.</w:t>
      </w:r>
    </w:p>
    <w:p w14:paraId="3EB091FE" w14:textId="77777777" w:rsidR="00D3782C" w:rsidRPr="00211F87" w:rsidRDefault="00D3782C" w:rsidP="00D3782C">
      <w:pPr>
        <w:pStyle w:val="LevelI"/>
      </w:pPr>
      <w:r w:rsidRPr="00211F87">
        <w:t>Upgrades (also known as Betterments, Enhancements</w:t>
      </w:r>
      <w:r>
        <w:t xml:space="preserve"> or Modifications</w:t>
      </w:r>
      <w:r w:rsidRPr="00211F87">
        <w:t>)</w:t>
      </w:r>
    </w:p>
    <w:p w14:paraId="16DD9BE9" w14:textId="77777777" w:rsidR="00D3782C" w:rsidRDefault="00D3782C" w:rsidP="00D3782C">
      <w:pPr>
        <w:ind w:left="576"/>
        <w:rPr>
          <w:rFonts w:cstheme="minorHAnsi"/>
          <w:bCs/>
          <w:color w:val="000000"/>
          <w:sz w:val="20"/>
          <w:szCs w:val="20"/>
        </w:rPr>
      </w:pPr>
      <w:r w:rsidRPr="00BB66AC">
        <w:rPr>
          <w:rFonts w:cstheme="minorHAnsi"/>
          <w:bCs/>
          <w:color w:val="000000"/>
          <w:sz w:val="20"/>
          <w:szCs w:val="20"/>
        </w:rPr>
        <w:t xml:space="preserve">Refer </w:t>
      </w:r>
      <w:r>
        <w:rPr>
          <w:rFonts w:cstheme="minorHAnsi"/>
          <w:bCs/>
          <w:color w:val="000000"/>
          <w:sz w:val="20"/>
          <w:szCs w:val="20"/>
        </w:rPr>
        <w:t>t</w:t>
      </w:r>
      <w:r w:rsidRPr="00896EC4">
        <w:rPr>
          <w:rFonts w:cstheme="minorHAnsi"/>
          <w:bCs/>
          <w:color w:val="000000"/>
          <w:sz w:val="20"/>
          <w:szCs w:val="20"/>
        </w:rPr>
        <w:t xml:space="preserve">o </w:t>
      </w:r>
      <w:hyperlink w:anchor="Appendix_B_Details_to_CAP" w:history="1">
        <w:r w:rsidRPr="00896EC4">
          <w:rPr>
            <w:rStyle w:val="Hyperlink"/>
            <w:rFonts w:cstheme="minorHAnsi"/>
            <w:bCs/>
            <w:szCs w:val="20"/>
          </w:rPr>
          <w:t>Appendix B</w:t>
        </w:r>
      </w:hyperlink>
      <w:r w:rsidRPr="00896EC4">
        <w:rPr>
          <w:rFonts w:cstheme="minorHAnsi"/>
          <w:bCs/>
          <w:color w:val="000000"/>
          <w:sz w:val="20"/>
          <w:szCs w:val="20"/>
        </w:rPr>
        <w:t xml:space="preserve"> for deta</w:t>
      </w:r>
      <w:r>
        <w:rPr>
          <w:rFonts w:cstheme="minorHAnsi"/>
          <w:bCs/>
          <w:color w:val="000000"/>
          <w:sz w:val="20"/>
          <w:szCs w:val="20"/>
        </w:rPr>
        <w:t>iled information on upgrades.</w:t>
      </w:r>
    </w:p>
    <w:p w14:paraId="4EB2FCEE" w14:textId="77777777" w:rsidR="00D3782C" w:rsidRDefault="00D3782C" w:rsidP="00D3782C">
      <w:pPr>
        <w:ind w:left="576"/>
        <w:sectPr w:rsidR="00D3782C" w:rsidSect="00D3782C">
          <w:headerReference w:type="even" r:id="rId21"/>
          <w:headerReference w:type="default" r:id="rId22"/>
          <w:footerReference w:type="default" r:id="rId23"/>
          <w:footerReference w:type="first" r:id="rId24"/>
          <w:pgSz w:w="12240" w:h="15840" w:code="1"/>
          <w:pgMar w:top="1440" w:right="1440" w:bottom="1440" w:left="1440" w:header="547" w:footer="432" w:gutter="0"/>
          <w:cols w:space="720"/>
          <w:docGrid w:linePitch="299"/>
        </w:sectPr>
      </w:pPr>
    </w:p>
    <w:p w14:paraId="439E14A5" w14:textId="77777777" w:rsidR="00D3782C" w:rsidRDefault="00D3782C" w:rsidP="00D3782C">
      <w:pPr>
        <w:pStyle w:val="LevelI"/>
      </w:pPr>
      <w:bookmarkStart w:id="2" w:name="Appendix_A_Equipment_Table"/>
      <w:r w:rsidRPr="00DF44D3">
        <w:t>Equipment Classifications</w:t>
      </w:r>
      <w:bookmarkEnd w:id="2"/>
    </w:p>
    <w:p w14:paraId="228AE425" w14:textId="77777777" w:rsidR="00D3782C" w:rsidRPr="00672339" w:rsidRDefault="00D3782C" w:rsidP="00D3782C">
      <w:pPr>
        <w:spacing w:after="0"/>
        <w:ind w:left="547"/>
        <w:rPr>
          <w:sz w:val="20"/>
          <w:szCs w:val="20"/>
        </w:rPr>
      </w:pPr>
      <w:r w:rsidRPr="00672339">
        <w:rPr>
          <w:sz w:val="20"/>
          <w:szCs w:val="20"/>
        </w:rPr>
        <w:t xml:space="preserve">Capital equipment is classified based on ownership of or title </w:t>
      </w:r>
      <w:proofErr w:type="gramStart"/>
      <w:r w:rsidRPr="00672339">
        <w:rPr>
          <w:sz w:val="20"/>
          <w:szCs w:val="20"/>
        </w:rPr>
        <w:t>to</w:t>
      </w:r>
      <w:proofErr w:type="gramEnd"/>
      <w:r w:rsidRPr="00672339">
        <w:rPr>
          <w:sz w:val="20"/>
          <w:szCs w:val="20"/>
        </w:rPr>
        <w:t xml:space="preserve"> the equipment, which is determined by the provisions of the sponsored award terms and conditions under which it was acquired. There are four classifications of capital equipment used for research.</w:t>
      </w:r>
    </w:p>
    <w:tbl>
      <w:tblPr>
        <w:tblStyle w:val="TableGrid"/>
        <w:tblW w:w="13854" w:type="dxa"/>
        <w:jc w:val="center"/>
        <w:tblLook w:val="04A0" w:firstRow="1" w:lastRow="0" w:firstColumn="1" w:lastColumn="0" w:noHBand="0" w:noVBand="1"/>
      </w:tblPr>
      <w:tblGrid>
        <w:gridCol w:w="1662"/>
        <w:gridCol w:w="2468"/>
        <w:gridCol w:w="1610"/>
        <w:gridCol w:w="3171"/>
        <w:gridCol w:w="1125"/>
        <w:gridCol w:w="1304"/>
        <w:gridCol w:w="1293"/>
        <w:gridCol w:w="1221"/>
      </w:tblGrid>
      <w:tr w:rsidR="00D3782C" w:rsidRPr="00AE4139" w14:paraId="04B17EAF" w14:textId="77777777" w:rsidTr="00942EF2">
        <w:trPr>
          <w:trHeight w:val="300"/>
          <w:jc w:val="center"/>
        </w:trPr>
        <w:tc>
          <w:tcPr>
            <w:tcW w:w="1668" w:type="dxa"/>
            <w:vAlign w:val="center"/>
          </w:tcPr>
          <w:p w14:paraId="455F2FFD" w14:textId="77777777" w:rsidR="00D3782C" w:rsidRPr="00AE4139" w:rsidRDefault="00D3782C" w:rsidP="00B95AEE">
            <w:pPr>
              <w:spacing w:after="0"/>
              <w:jc w:val="center"/>
              <w:rPr>
                <w:sz w:val="19"/>
                <w:szCs w:val="19"/>
              </w:rPr>
            </w:pPr>
            <w:r w:rsidRPr="00AE4139">
              <w:rPr>
                <w:b/>
                <w:sz w:val="19"/>
                <w:szCs w:val="19"/>
              </w:rPr>
              <w:t>Classification</w:t>
            </w:r>
          </w:p>
        </w:tc>
        <w:tc>
          <w:tcPr>
            <w:tcW w:w="2477" w:type="dxa"/>
            <w:vAlign w:val="center"/>
          </w:tcPr>
          <w:p w14:paraId="6FC0E0DD" w14:textId="77777777" w:rsidR="00D3782C" w:rsidRPr="00AE4139" w:rsidRDefault="00D3782C" w:rsidP="00B95AEE">
            <w:pPr>
              <w:spacing w:after="0"/>
              <w:jc w:val="center"/>
              <w:rPr>
                <w:sz w:val="19"/>
                <w:szCs w:val="19"/>
              </w:rPr>
            </w:pPr>
            <w:r w:rsidRPr="00AE4139">
              <w:rPr>
                <w:b/>
                <w:sz w:val="19"/>
                <w:szCs w:val="19"/>
              </w:rPr>
              <w:t>Purchase/Acquisition Details</w:t>
            </w:r>
          </w:p>
        </w:tc>
        <w:tc>
          <w:tcPr>
            <w:tcW w:w="1618" w:type="dxa"/>
            <w:vAlign w:val="center"/>
          </w:tcPr>
          <w:p w14:paraId="557F63F6" w14:textId="77777777" w:rsidR="00D3782C" w:rsidRPr="00AE4139" w:rsidRDefault="00D3782C" w:rsidP="00B95AEE">
            <w:pPr>
              <w:spacing w:after="0"/>
              <w:jc w:val="center"/>
              <w:rPr>
                <w:sz w:val="19"/>
                <w:szCs w:val="19"/>
              </w:rPr>
            </w:pPr>
            <w:r w:rsidRPr="00AE4139">
              <w:rPr>
                <w:b/>
                <w:sz w:val="19"/>
                <w:szCs w:val="19"/>
              </w:rPr>
              <w:t>Title</w:t>
            </w:r>
          </w:p>
        </w:tc>
        <w:tc>
          <w:tcPr>
            <w:tcW w:w="3204" w:type="dxa"/>
            <w:vAlign w:val="center"/>
          </w:tcPr>
          <w:p w14:paraId="132AC0F1" w14:textId="77777777" w:rsidR="00D3782C" w:rsidRPr="00AE4139" w:rsidRDefault="00D3782C" w:rsidP="00B95AEE">
            <w:pPr>
              <w:spacing w:after="0"/>
              <w:jc w:val="center"/>
              <w:rPr>
                <w:sz w:val="19"/>
                <w:szCs w:val="19"/>
              </w:rPr>
            </w:pPr>
            <w:r w:rsidRPr="00AE4139">
              <w:rPr>
                <w:b/>
                <w:sz w:val="19"/>
                <w:szCs w:val="19"/>
              </w:rPr>
              <w:t>Description</w:t>
            </w:r>
          </w:p>
        </w:tc>
        <w:tc>
          <w:tcPr>
            <w:tcW w:w="1125" w:type="dxa"/>
            <w:vAlign w:val="center"/>
          </w:tcPr>
          <w:p w14:paraId="6A389898" w14:textId="77777777" w:rsidR="00D3782C" w:rsidRPr="00AE4139" w:rsidRDefault="00D3782C" w:rsidP="00B95AEE">
            <w:pPr>
              <w:jc w:val="center"/>
              <w:rPr>
                <w:b/>
                <w:sz w:val="19"/>
                <w:szCs w:val="19"/>
              </w:rPr>
            </w:pPr>
            <w:r w:rsidRPr="00AE4139">
              <w:rPr>
                <w:b/>
                <w:sz w:val="19"/>
                <w:szCs w:val="19"/>
              </w:rPr>
              <w:t>Harvard</w:t>
            </w:r>
            <w:r>
              <w:rPr>
                <w:b/>
                <w:sz w:val="19"/>
                <w:szCs w:val="19"/>
              </w:rPr>
              <w:t xml:space="preserve"> Equipment Tag</w:t>
            </w:r>
          </w:p>
        </w:tc>
        <w:tc>
          <w:tcPr>
            <w:tcW w:w="1305" w:type="dxa"/>
            <w:vAlign w:val="center"/>
          </w:tcPr>
          <w:p w14:paraId="1842DE28" w14:textId="77777777" w:rsidR="00D3782C" w:rsidRPr="00AE4139" w:rsidRDefault="00D3782C" w:rsidP="00B95AEE">
            <w:pPr>
              <w:jc w:val="center"/>
              <w:rPr>
                <w:b/>
                <w:sz w:val="19"/>
                <w:szCs w:val="19"/>
              </w:rPr>
            </w:pPr>
            <w:r w:rsidRPr="00AE4139">
              <w:rPr>
                <w:b/>
                <w:sz w:val="19"/>
                <w:szCs w:val="19"/>
              </w:rPr>
              <w:t>Government</w:t>
            </w:r>
            <w:r>
              <w:rPr>
                <w:b/>
                <w:sz w:val="19"/>
                <w:szCs w:val="19"/>
              </w:rPr>
              <w:t xml:space="preserve"> Equipment Tagh</w:t>
            </w:r>
          </w:p>
        </w:tc>
        <w:tc>
          <w:tcPr>
            <w:tcW w:w="1228" w:type="dxa"/>
            <w:vAlign w:val="center"/>
          </w:tcPr>
          <w:p w14:paraId="58515D53" w14:textId="77777777" w:rsidR="00D3782C" w:rsidRPr="00AE4139" w:rsidRDefault="00D3782C" w:rsidP="00B95AEE">
            <w:pPr>
              <w:jc w:val="center"/>
              <w:rPr>
                <w:b/>
                <w:sz w:val="19"/>
                <w:szCs w:val="19"/>
              </w:rPr>
            </w:pPr>
            <w:r w:rsidRPr="00AE4139">
              <w:rPr>
                <w:b/>
                <w:sz w:val="19"/>
                <w:szCs w:val="19"/>
              </w:rPr>
              <w:t>Depreciated?</w:t>
            </w:r>
          </w:p>
        </w:tc>
        <w:tc>
          <w:tcPr>
            <w:tcW w:w="1229" w:type="dxa"/>
            <w:vAlign w:val="center"/>
          </w:tcPr>
          <w:p w14:paraId="44762D37" w14:textId="77777777" w:rsidR="00D3782C" w:rsidRPr="00AE4139" w:rsidRDefault="00D3782C" w:rsidP="00B95AEE">
            <w:pPr>
              <w:jc w:val="center"/>
              <w:rPr>
                <w:b/>
                <w:sz w:val="19"/>
                <w:szCs w:val="19"/>
              </w:rPr>
            </w:pPr>
            <w:r w:rsidRPr="00AE4139">
              <w:rPr>
                <w:b/>
                <w:sz w:val="19"/>
                <w:szCs w:val="19"/>
              </w:rPr>
              <w:t>F&amp;A Calc.?</w:t>
            </w:r>
          </w:p>
        </w:tc>
      </w:tr>
      <w:tr w:rsidR="00D3782C" w:rsidRPr="00AE4139" w14:paraId="2161F943" w14:textId="77777777" w:rsidTr="00942EF2">
        <w:trPr>
          <w:trHeight w:val="300"/>
          <w:jc w:val="center"/>
        </w:trPr>
        <w:tc>
          <w:tcPr>
            <w:tcW w:w="1668" w:type="dxa"/>
            <w:vAlign w:val="center"/>
          </w:tcPr>
          <w:p w14:paraId="2855C20A" w14:textId="77777777" w:rsidR="00D3782C" w:rsidRPr="00AE4139" w:rsidRDefault="00D3782C" w:rsidP="00B95AEE">
            <w:pPr>
              <w:spacing w:after="0" w:line="240" w:lineRule="auto"/>
              <w:jc w:val="center"/>
              <w:rPr>
                <w:sz w:val="19"/>
                <w:szCs w:val="19"/>
              </w:rPr>
            </w:pPr>
            <w:r w:rsidRPr="00AE4139">
              <w:rPr>
                <w:sz w:val="19"/>
                <w:szCs w:val="19"/>
              </w:rPr>
              <w:t>Sponsor-Funded</w:t>
            </w:r>
          </w:p>
        </w:tc>
        <w:tc>
          <w:tcPr>
            <w:tcW w:w="2477" w:type="dxa"/>
            <w:vAlign w:val="center"/>
          </w:tcPr>
          <w:p w14:paraId="7D01B187" w14:textId="77777777" w:rsidR="00D3782C" w:rsidRPr="00AE4139" w:rsidRDefault="00D3782C" w:rsidP="00B95AEE">
            <w:pPr>
              <w:spacing w:after="0" w:line="240" w:lineRule="auto"/>
              <w:rPr>
                <w:rFonts w:cstheme="minorHAnsi"/>
                <w:bCs/>
                <w:color w:val="000000"/>
                <w:sz w:val="19"/>
                <w:szCs w:val="19"/>
              </w:rPr>
            </w:pPr>
            <w:r w:rsidRPr="00AE4139">
              <w:rPr>
                <w:rFonts w:cstheme="minorHAnsi"/>
                <w:bCs/>
                <w:color w:val="000000"/>
                <w:sz w:val="19"/>
                <w:szCs w:val="19"/>
              </w:rPr>
              <w:t>Purchased in whole or in part with sponsored funds</w:t>
            </w:r>
          </w:p>
        </w:tc>
        <w:tc>
          <w:tcPr>
            <w:tcW w:w="1618" w:type="dxa"/>
            <w:vAlign w:val="center"/>
          </w:tcPr>
          <w:p w14:paraId="45047537" w14:textId="77777777" w:rsidR="00D3782C" w:rsidRPr="00AE4139" w:rsidRDefault="00D3782C" w:rsidP="00B95AEE">
            <w:pPr>
              <w:spacing w:after="0" w:line="240" w:lineRule="auto"/>
              <w:rPr>
                <w:sz w:val="19"/>
                <w:szCs w:val="19"/>
              </w:rPr>
            </w:pPr>
            <w:r w:rsidRPr="00AE4139">
              <w:rPr>
                <w:sz w:val="19"/>
                <w:szCs w:val="19"/>
              </w:rPr>
              <w:t>Harvard*</w:t>
            </w:r>
          </w:p>
          <w:p w14:paraId="57118B7B" w14:textId="77777777" w:rsidR="00D3782C" w:rsidRPr="00AE4139" w:rsidRDefault="00D3782C" w:rsidP="00B95AEE">
            <w:pPr>
              <w:spacing w:after="0" w:line="240" w:lineRule="auto"/>
              <w:rPr>
                <w:sz w:val="19"/>
                <w:szCs w:val="19"/>
                <w:highlight w:val="yellow"/>
              </w:rPr>
            </w:pPr>
            <w:r w:rsidRPr="00AE4139">
              <w:rPr>
                <w:sz w:val="19"/>
                <w:szCs w:val="19"/>
              </w:rPr>
              <w:t>*May be conditional title. See award terms &amp; conditions &amp; applicable federal regulations.</w:t>
            </w:r>
          </w:p>
        </w:tc>
        <w:tc>
          <w:tcPr>
            <w:tcW w:w="3204" w:type="dxa"/>
            <w:vAlign w:val="center"/>
          </w:tcPr>
          <w:p w14:paraId="5720D8FB" w14:textId="77777777" w:rsidR="00D3782C" w:rsidRPr="00AE4139" w:rsidRDefault="00D3782C" w:rsidP="00B95AEE">
            <w:pPr>
              <w:spacing w:after="0" w:line="240" w:lineRule="auto"/>
              <w:rPr>
                <w:sz w:val="19"/>
                <w:szCs w:val="19"/>
              </w:rPr>
            </w:pPr>
            <w:r w:rsidRPr="00AE4139">
              <w:rPr>
                <w:rFonts w:cstheme="minorHAnsi"/>
                <w:bCs/>
                <w:color w:val="000000"/>
                <w:sz w:val="19"/>
                <w:szCs w:val="19"/>
              </w:rPr>
              <w:t>Sponsored equipment purchased with federal funds may also be considered “exempt equipment.” Title to exempt equipment is conditional and is subject to federal use and disposition restrictions. Equipment purchased with non-federal funds may also be subject to special terms and conditions of the sponsored award.</w:t>
            </w:r>
          </w:p>
        </w:tc>
        <w:tc>
          <w:tcPr>
            <w:tcW w:w="1125" w:type="dxa"/>
            <w:vAlign w:val="center"/>
          </w:tcPr>
          <w:p w14:paraId="2230F339" w14:textId="77777777" w:rsidR="00D3782C" w:rsidRPr="00AE4139" w:rsidRDefault="00D3782C" w:rsidP="00B95AEE">
            <w:pPr>
              <w:jc w:val="center"/>
              <w:rPr>
                <w:sz w:val="19"/>
                <w:szCs w:val="19"/>
                <w:highlight w:val="yellow"/>
              </w:rPr>
            </w:pPr>
            <w:r w:rsidRPr="00AE4139">
              <w:rPr>
                <w:sz w:val="19"/>
                <w:szCs w:val="19"/>
              </w:rPr>
              <w:t>Yes</w:t>
            </w:r>
          </w:p>
        </w:tc>
        <w:tc>
          <w:tcPr>
            <w:tcW w:w="1305" w:type="dxa"/>
            <w:vAlign w:val="center"/>
          </w:tcPr>
          <w:p w14:paraId="4AEF839C" w14:textId="77777777" w:rsidR="00D3782C" w:rsidRPr="00AE4139" w:rsidRDefault="00D3782C" w:rsidP="00B95AEE">
            <w:pPr>
              <w:jc w:val="center"/>
              <w:rPr>
                <w:sz w:val="19"/>
                <w:szCs w:val="19"/>
              </w:rPr>
            </w:pPr>
            <w:r w:rsidRPr="00AE4139">
              <w:rPr>
                <w:sz w:val="19"/>
                <w:szCs w:val="19"/>
              </w:rPr>
              <w:t>No</w:t>
            </w:r>
          </w:p>
        </w:tc>
        <w:tc>
          <w:tcPr>
            <w:tcW w:w="1228" w:type="dxa"/>
            <w:vAlign w:val="center"/>
          </w:tcPr>
          <w:p w14:paraId="6198D076" w14:textId="77777777" w:rsidR="00D3782C" w:rsidRPr="00AE4139" w:rsidRDefault="00D3782C" w:rsidP="00B95AEE">
            <w:pPr>
              <w:jc w:val="center"/>
              <w:rPr>
                <w:sz w:val="19"/>
                <w:szCs w:val="19"/>
              </w:rPr>
            </w:pPr>
            <w:r w:rsidRPr="00AE4139">
              <w:rPr>
                <w:sz w:val="19"/>
                <w:szCs w:val="19"/>
              </w:rPr>
              <w:t>Yes</w:t>
            </w:r>
          </w:p>
        </w:tc>
        <w:tc>
          <w:tcPr>
            <w:tcW w:w="1229" w:type="dxa"/>
            <w:vAlign w:val="center"/>
          </w:tcPr>
          <w:p w14:paraId="3E822213" w14:textId="77777777" w:rsidR="00D3782C" w:rsidRPr="00AE4139" w:rsidRDefault="00D3782C" w:rsidP="00B95AEE">
            <w:pPr>
              <w:jc w:val="center"/>
              <w:rPr>
                <w:sz w:val="19"/>
                <w:szCs w:val="19"/>
              </w:rPr>
            </w:pPr>
            <w:r w:rsidRPr="00AE4139">
              <w:rPr>
                <w:sz w:val="19"/>
                <w:szCs w:val="19"/>
              </w:rPr>
              <w:t>No</w:t>
            </w:r>
          </w:p>
        </w:tc>
      </w:tr>
      <w:tr w:rsidR="00D3782C" w:rsidRPr="00AE4139" w14:paraId="2FFDB1D8" w14:textId="77777777" w:rsidTr="00942EF2">
        <w:trPr>
          <w:trHeight w:val="300"/>
          <w:jc w:val="center"/>
        </w:trPr>
        <w:tc>
          <w:tcPr>
            <w:tcW w:w="1668" w:type="dxa"/>
            <w:vAlign w:val="center"/>
          </w:tcPr>
          <w:p w14:paraId="46A44852" w14:textId="77777777" w:rsidR="00D3782C" w:rsidRPr="00AE4139" w:rsidRDefault="00D3782C" w:rsidP="00B95AEE">
            <w:pPr>
              <w:spacing w:after="0" w:line="240" w:lineRule="auto"/>
              <w:jc w:val="center"/>
              <w:rPr>
                <w:sz w:val="19"/>
                <w:szCs w:val="19"/>
              </w:rPr>
            </w:pPr>
            <w:r w:rsidRPr="00AE4139">
              <w:rPr>
                <w:sz w:val="19"/>
                <w:szCs w:val="19"/>
              </w:rPr>
              <w:t>Government-Titled Equipment (GTE)</w:t>
            </w:r>
          </w:p>
        </w:tc>
        <w:tc>
          <w:tcPr>
            <w:tcW w:w="2477" w:type="dxa"/>
            <w:vAlign w:val="center"/>
          </w:tcPr>
          <w:p w14:paraId="2777487C" w14:textId="77777777" w:rsidR="00D3782C" w:rsidRPr="00AE4139" w:rsidRDefault="00D3782C" w:rsidP="00B95AEE">
            <w:pPr>
              <w:spacing w:after="0" w:line="240" w:lineRule="auto"/>
              <w:rPr>
                <w:rFonts w:cstheme="minorHAnsi"/>
                <w:bCs/>
                <w:color w:val="000000"/>
                <w:sz w:val="19"/>
                <w:szCs w:val="19"/>
              </w:rPr>
            </w:pPr>
            <w:r w:rsidRPr="00AE4139">
              <w:rPr>
                <w:rFonts w:cstheme="minorHAnsi"/>
                <w:bCs/>
                <w:color w:val="000000"/>
                <w:sz w:val="19"/>
                <w:szCs w:val="19"/>
              </w:rPr>
              <w:t>Purchased with federal funds with title vested to the federal government</w:t>
            </w:r>
          </w:p>
        </w:tc>
        <w:tc>
          <w:tcPr>
            <w:tcW w:w="1618" w:type="dxa"/>
            <w:vAlign w:val="center"/>
          </w:tcPr>
          <w:p w14:paraId="26247698" w14:textId="77777777" w:rsidR="00D3782C" w:rsidRPr="00AE4139" w:rsidRDefault="00D3782C" w:rsidP="00B95AEE">
            <w:pPr>
              <w:spacing w:after="0" w:line="240" w:lineRule="auto"/>
              <w:jc w:val="center"/>
              <w:rPr>
                <w:sz w:val="19"/>
                <w:szCs w:val="19"/>
              </w:rPr>
            </w:pPr>
            <w:r w:rsidRPr="00AE4139">
              <w:rPr>
                <w:sz w:val="19"/>
                <w:szCs w:val="19"/>
              </w:rPr>
              <w:t>Government or External Entity</w:t>
            </w:r>
          </w:p>
        </w:tc>
        <w:tc>
          <w:tcPr>
            <w:tcW w:w="3204" w:type="dxa"/>
            <w:vAlign w:val="center"/>
          </w:tcPr>
          <w:p w14:paraId="5FE66BE0" w14:textId="77777777" w:rsidR="00D3782C" w:rsidRPr="00AE4139" w:rsidRDefault="00D3782C" w:rsidP="00B95AEE">
            <w:pPr>
              <w:spacing w:after="0" w:line="240" w:lineRule="auto"/>
              <w:rPr>
                <w:sz w:val="19"/>
                <w:szCs w:val="19"/>
              </w:rPr>
            </w:pPr>
            <w:r w:rsidRPr="00AE4139">
              <w:rPr>
                <w:rFonts w:cstheme="minorHAnsi"/>
                <w:bCs/>
                <w:color w:val="000000"/>
                <w:sz w:val="19"/>
                <w:szCs w:val="19"/>
              </w:rPr>
              <w:t xml:space="preserve">GTE may not be </w:t>
            </w:r>
            <w:proofErr w:type="gramStart"/>
            <w:r w:rsidRPr="00AE4139">
              <w:rPr>
                <w:rFonts w:cstheme="minorHAnsi"/>
                <w:bCs/>
                <w:color w:val="000000"/>
                <w:sz w:val="19"/>
                <w:szCs w:val="19"/>
              </w:rPr>
              <w:t>disposed</w:t>
            </w:r>
            <w:proofErr w:type="gramEnd"/>
            <w:r w:rsidRPr="00AE4139">
              <w:rPr>
                <w:rFonts w:cstheme="minorHAnsi"/>
                <w:bCs/>
                <w:color w:val="000000"/>
                <w:sz w:val="19"/>
                <w:szCs w:val="19"/>
              </w:rPr>
              <w:t xml:space="preserve"> or removed from service without approval from the sponsor. Note that non-federal sponsors may also reserve title to equipment according to the terms and conditions of the award.</w:t>
            </w:r>
          </w:p>
        </w:tc>
        <w:tc>
          <w:tcPr>
            <w:tcW w:w="1125" w:type="dxa"/>
            <w:vAlign w:val="center"/>
          </w:tcPr>
          <w:p w14:paraId="25C5553B" w14:textId="77777777" w:rsidR="00D3782C" w:rsidRPr="00AE4139" w:rsidRDefault="00D3782C" w:rsidP="00B95AEE">
            <w:pPr>
              <w:jc w:val="center"/>
              <w:rPr>
                <w:sz w:val="19"/>
                <w:szCs w:val="19"/>
              </w:rPr>
            </w:pPr>
            <w:r w:rsidRPr="00AE4139">
              <w:rPr>
                <w:sz w:val="19"/>
                <w:szCs w:val="19"/>
              </w:rPr>
              <w:t>Yes</w:t>
            </w:r>
          </w:p>
        </w:tc>
        <w:tc>
          <w:tcPr>
            <w:tcW w:w="1305" w:type="dxa"/>
            <w:vAlign w:val="center"/>
          </w:tcPr>
          <w:p w14:paraId="1E637EA5" w14:textId="77777777" w:rsidR="00D3782C" w:rsidRPr="00AE4139" w:rsidRDefault="00D3782C" w:rsidP="00B95AEE">
            <w:pPr>
              <w:jc w:val="center"/>
              <w:rPr>
                <w:sz w:val="19"/>
                <w:szCs w:val="19"/>
              </w:rPr>
            </w:pPr>
            <w:r w:rsidRPr="00AE4139">
              <w:rPr>
                <w:sz w:val="19"/>
                <w:szCs w:val="19"/>
              </w:rPr>
              <w:t>Yes</w:t>
            </w:r>
          </w:p>
        </w:tc>
        <w:tc>
          <w:tcPr>
            <w:tcW w:w="1228" w:type="dxa"/>
            <w:vAlign w:val="center"/>
          </w:tcPr>
          <w:p w14:paraId="69FE3AFC" w14:textId="77777777" w:rsidR="00D3782C" w:rsidRPr="00AE4139" w:rsidRDefault="00D3782C" w:rsidP="00B95AEE">
            <w:pPr>
              <w:jc w:val="center"/>
              <w:rPr>
                <w:sz w:val="19"/>
                <w:szCs w:val="19"/>
              </w:rPr>
            </w:pPr>
            <w:r w:rsidRPr="00AE4139">
              <w:rPr>
                <w:sz w:val="19"/>
                <w:szCs w:val="19"/>
              </w:rPr>
              <w:t>Yes</w:t>
            </w:r>
          </w:p>
        </w:tc>
        <w:tc>
          <w:tcPr>
            <w:tcW w:w="1229" w:type="dxa"/>
            <w:vAlign w:val="center"/>
          </w:tcPr>
          <w:p w14:paraId="5929B47B" w14:textId="77777777" w:rsidR="00D3782C" w:rsidRPr="00AE4139" w:rsidRDefault="00D3782C" w:rsidP="00B95AEE">
            <w:pPr>
              <w:jc w:val="center"/>
              <w:rPr>
                <w:sz w:val="19"/>
                <w:szCs w:val="19"/>
              </w:rPr>
            </w:pPr>
            <w:r w:rsidRPr="00AE4139">
              <w:rPr>
                <w:sz w:val="19"/>
                <w:szCs w:val="19"/>
              </w:rPr>
              <w:t>No</w:t>
            </w:r>
          </w:p>
        </w:tc>
      </w:tr>
      <w:tr w:rsidR="00D3782C" w:rsidRPr="00AE4139" w14:paraId="51A2D7DC" w14:textId="77777777" w:rsidTr="00942EF2">
        <w:trPr>
          <w:trHeight w:val="300"/>
          <w:jc w:val="center"/>
        </w:trPr>
        <w:tc>
          <w:tcPr>
            <w:tcW w:w="1668" w:type="dxa"/>
            <w:vAlign w:val="center"/>
          </w:tcPr>
          <w:p w14:paraId="329C792C" w14:textId="77777777" w:rsidR="00D3782C" w:rsidRPr="00AE4139" w:rsidRDefault="00D3782C" w:rsidP="00B95AEE">
            <w:pPr>
              <w:spacing w:after="0" w:line="240" w:lineRule="auto"/>
              <w:jc w:val="center"/>
              <w:rPr>
                <w:sz w:val="19"/>
                <w:szCs w:val="19"/>
              </w:rPr>
            </w:pPr>
            <w:r w:rsidRPr="00AE4139">
              <w:rPr>
                <w:sz w:val="19"/>
                <w:szCs w:val="19"/>
              </w:rPr>
              <w:t>Government-Furnished Property (GFP)</w:t>
            </w:r>
          </w:p>
        </w:tc>
        <w:tc>
          <w:tcPr>
            <w:tcW w:w="2477" w:type="dxa"/>
            <w:vAlign w:val="center"/>
          </w:tcPr>
          <w:p w14:paraId="37E14E53" w14:textId="77777777" w:rsidR="00D3782C" w:rsidRPr="00AE4139" w:rsidRDefault="00D3782C" w:rsidP="00B95AEE">
            <w:pPr>
              <w:spacing w:after="0" w:line="240" w:lineRule="auto"/>
              <w:rPr>
                <w:rFonts w:cstheme="minorHAnsi"/>
                <w:bCs/>
                <w:color w:val="000000"/>
                <w:sz w:val="19"/>
                <w:szCs w:val="19"/>
              </w:rPr>
            </w:pPr>
            <w:r w:rsidRPr="00AE4139">
              <w:rPr>
                <w:rFonts w:cstheme="minorHAnsi"/>
                <w:bCs/>
                <w:color w:val="000000"/>
                <w:sz w:val="19"/>
                <w:szCs w:val="19"/>
              </w:rPr>
              <w:t>In the possession of, or acquired directly by, the federal government &amp; subsequently delivered or otherwise made available to the University under a grant or contract</w:t>
            </w:r>
          </w:p>
        </w:tc>
        <w:tc>
          <w:tcPr>
            <w:tcW w:w="1618" w:type="dxa"/>
            <w:vAlign w:val="center"/>
          </w:tcPr>
          <w:p w14:paraId="5986889D" w14:textId="77777777" w:rsidR="00D3782C" w:rsidRPr="00AE4139" w:rsidRDefault="00D3782C" w:rsidP="00B95AEE">
            <w:pPr>
              <w:spacing w:after="0" w:line="240" w:lineRule="auto"/>
              <w:jc w:val="center"/>
              <w:rPr>
                <w:sz w:val="19"/>
                <w:szCs w:val="19"/>
              </w:rPr>
            </w:pPr>
            <w:r w:rsidRPr="00AE4139">
              <w:rPr>
                <w:sz w:val="19"/>
                <w:szCs w:val="19"/>
              </w:rPr>
              <w:t>Government or External Entity</w:t>
            </w:r>
          </w:p>
        </w:tc>
        <w:tc>
          <w:tcPr>
            <w:tcW w:w="3204" w:type="dxa"/>
            <w:vAlign w:val="center"/>
          </w:tcPr>
          <w:p w14:paraId="1933CD4C" w14:textId="77777777" w:rsidR="00D3782C" w:rsidRPr="00AE4139" w:rsidRDefault="00D3782C" w:rsidP="00B95AEE">
            <w:pPr>
              <w:spacing w:after="0" w:line="240" w:lineRule="auto"/>
              <w:rPr>
                <w:sz w:val="19"/>
                <w:szCs w:val="19"/>
              </w:rPr>
            </w:pPr>
            <w:r w:rsidRPr="00AE4139">
              <w:rPr>
                <w:rFonts w:cstheme="minorHAnsi"/>
                <w:bCs/>
                <w:color w:val="000000"/>
                <w:sz w:val="19"/>
                <w:szCs w:val="19"/>
              </w:rPr>
              <w:t>Title to GFP remains with the government, regardless of the equipment’s value. GFP is recorded in Oracle Assets with an acquisition cost of $0, as the equipment is not purchased.</w:t>
            </w:r>
          </w:p>
        </w:tc>
        <w:tc>
          <w:tcPr>
            <w:tcW w:w="1125" w:type="dxa"/>
            <w:vAlign w:val="center"/>
          </w:tcPr>
          <w:p w14:paraId="7357A36A" w14:textId="77777777" w:rsidR="00D3782C" w:rsidRPr="00AE4139" w:rsidRDefault="00D3782C" w:rsidP="00B95AEE">
            <w:pPr>
              <w:jc w:val="center"/>
              <w:rPr>
                <w:sz w:val="19"/>
                <w:szCs w:val="19"/>
              </w:rPr>
            </w:pPr>
            <w:r w:rsidRPr="00AE4139">
              <w:rPr>
                <w:sz w:val="19"/>
                <w:szCs w:val="19"/>
              </w:rPr>
              <w:t>Yes</w:t>
            </w:r>
          </w:p>
        </w:tc>
        <w:tc>
          <w:tcPr>
            <w:tcW w:w="1305" w:type="dxa"/>
            <w:vAlign w:val="center"/>
          </w:tcPr>
          <w:p w14:paraId="04250C4D" w14:textId="77777777" w:rsidR="00D3782C" w:rsidRPr="00AE4139" w:rsidRDefault="00D3782C" w:rsidP="00B95AEE">
            <w:pPr>
              <w:jc w:val="center"/>
              <w:rPr>
                <w:sz w:val="19"/>
                <w:szCs w:val="19"/>
              </w:rPr>
            </w:pPr>
            <w:r w:rsidRPr="00AE4139">
              <w:rPr>
                <w:sz w:val="19"/>
                <w:szCs w:val="19"/>
              </w:rPr>
              <w:t>Yes</w:t>
            </w:r>
          </w:p>
        </w:tc>
        <w:tc>
          <w:tcPr>
            <w:tcW w:w="1228" w:type="dxa"/>
            <w:vAlign w:val="center"/>
          </w:tcPr>
          <w:p w14:paraId="1C55A3F1" w14:textId="77777777" w:rsidR="00D3782C" w:rsidRPr="00AE4139" w:rsidRDefault="00D3782C" w:rsidP="00B95AEE">
            <w:pPr>
              <w:jc w:val="center"/>
              <w:rPr>
                <w:sz w:val="19"/>
                <w:szCs w:val="19"/>
              </w:rPr>
            </w:pPr>
            <w:r w:rsidRPr="00AE4139">
              <w:rPr>
                <w:sz w:val="19"/>
                <w:szCs w:val="19"/>
              </w:rPr>
              <w:t>No</w:t>
            </w:r>
          </w:p>
        </w:tc>
        <w:tc>
          <w:tcPr>
            <w:tcW w:w="1229" w:type="dxa"/>
            <w:vAlign w:val="center"/>
          </w:tcPr>
          <w:p w14:paraId="1C7F1059" w14:textId="77777777" w:rsidR="00D3782C" w:rsidRPr="00AE4139" w:rsidRDefault="00D3782C" w:rsidP="00B95AEE">
            <w:pPr>
              <w:jc w:val="center"/>
              <w:rPr>
                <w:sz w:val="19"/>
                <w:szCs w:val="19"/>
              </w:rPr>
            </w:pPr>
            <w:r w:rsidRPr="00AE4139">
              <w:rPr>
                <w:sz w:val="19"/>
                <w:szCs w:val="19"/>
              </w:rPr>
              <w:t>No</w:t>
            </w:r>
          </w:p>
        </w:tc>
      </w:tr>
      <w:tr w:rsidR="00D3782C" w:rsidRPr="00AE4139" w14:paraId="0C311310" w14:textId="77777777" w:rsidTr="00942EF2">
        <w:trPr>
          <w:trHeight w:val="300"/>
          <w:jc w:val="center"/>
        </w:trPr>
        <w:tc>
          <w:tcPr>
            <w:tcW w:w="1668" w:type="dxa"/>
            <w:vAlign w:val="center"/>
          </w:tcPr>
          <w:p w14:paraId="6F3FEF3B" w14:textId="77777777" w:rsidR="00D3782C" w:rsidRPr="00AE4139" w:rsidRDefault="00D3782C" w:rsidP="00B95AEE">
            <w:pPr>
              <w:spacing w:after="0" w:line="240" w:lineRule="auto"/>
              <w:jc w:val="center"/>
              <w:rPr>
                <w:sz w:val="19"/>
                <w:szCs w:val="19"/>
              </w:rPr>
            </w:pPr>
            <w:r w:rsidRPr="00AE4139">
              <w:rPr>
                <w:sz w:val="19"/>
                <w:szCs w:val="19"/>
              </w:rPr>
              <w:t>University-Funded Equipment</w:t>
            </w:r>
          </w:p>
        </w:tc>
        <w:tc>
          <w:tcPr>
            <w:tcW w:w="2477" w:type="dxa"/>
            <w:vAlign w:val="center"/>
          </w:tcPr>
          <w:p w14:paraId="02C9A23F" w14:textId="77777777" w:rsidR="00D3782C" w:rsidRPr="00AE4139" w:rsidRDefault="00D3782C" w:rsidP="00B95AEE">
            <w:pPr>
              <w:spacing w:after="0" w:line="240" w:lineRule="auto"/>
              <w:rPr>
                <w:rFonts w:cstheme="minorHAnsi"/>
                <w:bCs/>
                <w:color w:val="000000"/>
                <w:sz w:val="19"/>
                <w:szCs w:val="19"/>
              </w:rPr>
            </w:pPr>
            <w:r w:rsidRPr="00AE4139">
              <w:rPr>
                <w:rFonts w:cstheme="minorHAnsi"/>
                <w:bCs/>
                <w:color w:val="000000"/>
                <w:sz w:val="19"/>
                <w:szCs w:val="19"/>
              </w:rPr>
              <w:t>Purchased with non-sponsored university funds (including gifts or endowments)</w:t>
            </w:r>
          </w:p>
        </w:tc>
        <w:tc>
          <w:tcPr>
            <w:tcW w:w="1618" w:type="dxa"/>
            <w:vAlign w:val="center"/>
          </w:tcPr>
          <w:p w14:paraId="0C620F73" w14:textId="77777777" w:rsidR="00D3782C" w:rsidRPr="00AE4139" w:rsidRDefault="00D3782C" w:rsidP="00B95AEE">
            <w:pPr>
              <w:spacing w:after="0" w:line="240" w:lineRule="auto"/>
              <w:jc w:val="center"/>
              <w:rPr>
                <w:sz w:val="19"/>
                <w:szCs w:val="19"/>
              </w:rPr>
            </w:pPr>
            <w:r w:rsidRPr="00AE4139">
              <w:rPr>
                <w:sz w:val="19"/>
                <w:szCs w:val="19"/>
              </w:rPr>
              <w:t>Harvard</w:t>
            </w:r>
          </w:p>
        </w:tc>
        <w:tc>
          <w:tcPr>
            <w:tcW w:w="3204" w:type="dxa"/>
            <w:vAlign w:val="center"/>
          </w:tcPr>
          <w:p w14:paraId="28F769FA" w14:textId="77777777" w:rsidR="00D3782C" w:rsidRPr="00AE4139" w:rsidRDefault="00D3782C" w:rsidP="00B95AEE">
            <w:pPr>
              <w:spacing w:after="0" w:line="240" w:lineRule="auto"/>
              <w:rPr>
                <w:sz w:val="19"/>
                <w:szCs w:val="19"/>
              </w:rPr>
            </w:pPr>
            <w:r w:rsidRPr="00AE4139">
              <w:rPr>
                <w:rFonts w:cstheme="minorHAnsi"/>
                <w:bCs/>
                <w:color w:val="000000"/>
                <w:sz w:val="19"/>
                <w:szCs w:val="19"/>
              </w:rPr>
              <w:t>Title to University-funded equipment is vested with Harvard. University-funded equipment is tested as part of the Single Audit and is generally subject to the same guidelines as sponsored equipment. For policy information related to University-funded equipment, s</w:t>
            </w:r>
            <w:r w:rsidRPr="00AE4139">
              <w:rPr>
                <w:rFonts w:cstheme="minorHAnsi"/>
                <w:sz w:val="19"/>
                <w:szCs w:val="19"/>
              </w:rPr>
              <w:t xml:space="preserve">ee the main </w:t>
            </w:r>
            <w:hyperlink r:id="rId25" w:history="1">
              <w:r w:rsidRPr="00AE4139">
                <w:rPr>
                  <w:rStyle w:val="Hyperlink"/>
                  <w:rFonts w:eastAsiaTheme="majorEastAsia" w:cstheme="minorHAnsi"/>
                  <w:sz w:val="19"/>
                  <w:szCs w:val="19"/>
                </w:rPr>
                <w:t>Financial Management of Property, Plant and Equipment Policy</w:t>
              </w:r>
            </w:hyperlink>
            <w:r w:rsidRPr="00AE4139">
              <w:rPr>
                <w:rFonts w:cstheme="minorHAnsi"/>
                <w:sz w:val="19"/>
                <w:szCs w:val="19"/>
              </w:rPr>
              <w:t>.</w:t>
            </w:r>
          </w:p>
        </w:tc>
        <w:tc>
          <w:tcPr>
            <w:tcW w:w="1125" w:type="dxa"/>
            <w:vAlign w:val="center"/>
          </w:tcPr>
          <w:p w14:paraId="36A952F6" w14:textId="77777777" w:rsidR="00D3782C" w:rsidRPr="00AE4139" w:rsidRDefault="00D3782C" w:rsidP="00B95AEE">
            <w:pPr>
              <w:jc w:val="center"/>
              <w:rPr>
                <w:sz w:val="19"/>
                <w:szCs w:val="19"/>
              </w:rPr>
            </w:pPr>
            <w:r w:rsidRPr="00AE4139">
              <w:rPr>
                <w:sz w:val="19"/>
                <w:szCs w:val="19"/>
              </w:rPr>
              <w:t>Yes</w:t>
            </w:r>
          </w:p>
        </w:tc>
        <w:tc>
          <w:tcPr>
            <w:tcW w:w="1305" w:type="dxa"/>
            <w:vAlign w:val="center"/>
          </w:tcPr>
          <w:p w14:paraId="18E065F9" w14:textId="77777777" w:rsidR="00D3782C" w:rsidRPr="00AE4139" w:rsidRDefault="00D3782C" w:rsidP="00B95AEE">
            <w:pPr>
              <w:jc w:val="center"/>
              <w:rPr>
                <w:sz w:val="19"/>
                <w:szCs w:val="19"/>
              </w:rPr>
            </w:pPr>
            <w:r w:rsidRPr="00AE4139">
              <w:rPr>
                <w:sz w:val="19"/>
                <w:szCs w:val="19"/>
              </w:rPr>
              <w:t>No</w:t>
            </w:r>
          </w:p>
        </w:tc>
        <w:tc>
          <w:tcPr>
            <w:tcW w:w="1228" w:type="dxa"/>
            <w:vAlign w:val="center"/>
          </w:tcPr>
          <w:p w14:paraId="73B4BEE5" w14:textId="77777777" w:rsidR="00D3782C" w:rsidRPr="00AE4139" w:rsidRDefault="00D3782C" w:rsidP="00B95AEE">
            <w:pPr>
              <w:jc w:val="center"/>
              <w:rPr>
                <w:sz w:val="19"/>
                <w:szCs w:val="19"/>
              </w:rPr>
            </w:pPr>
            <w:r w:rsidRPr="00AE4139">
              <w:rPr>
                <w:sz w:val="19"/>
                <w:szCs w:val="19"/>
              </w:rPr>
              <w:t>Yes</w:t>
            </w:r>
          </w:p>
        </w:tc>
        <w:tc>
          <w:tcPr>
            <w:tcW w:w="1229" w:type="dxa"/>
            <w:vAlign w:val="center"/>
          </w:tcPr>
          <w:p w14:paraId="780C554B" w14:textId="77777777" w:rsidR="00D3782C" w:rsidRPr="00AE4139" w:rsidRDefault="00D3782C" w:rsidP="00B95AEE">
            <w:pPr>
              <w:jc w:val="center"/>
              <w:rPr>
                <w:sz w:val="19"/>
                <w:szCs w:val="19"/>
              </w:rPr>
            </w:pPr>
            <w:r w:rsidRPr="00AE4139">
              <w:rPr>
                <w:sz w:val="19"/>
                <w:szCs w:val="19"/>
              </w:rPr>
              <w:t>Yes</w:t>
            </w:r>
          </w:p>
        </w:tc>
      </w:tr>
    </w:tbl>
    <w:p w14:paraId="51B5072E" w14:textId="77777777" w:rsidR="00D3782C" w:rsidRDefault="00D3782C" w:rsidP="00D3782C">
      <w:pPr>
        <w:ind w:left="540"/>
        <w:sectPr w:rsidR="00D3782C" w:rsidSect="00D3782C">
          <w:pgSz w:w="15840" w:h="12240" w:orient="landscape" w:code="1"/>
          <w:pgMar w:top="1440" w:right="1440" w:bottom="1440" w:left="1440" w:header="547" w:footer="432" w:gutter="0"/>
          <w:cols w:space="720"/>
          <w:docGrid w:linePitch="299"/>
        </w:sectPr>
      </w:pPr>
    </w:p>
    <w:p w14:paraId="28E15CA9" w14:textId="77777777" w:rsidR="00D3782C" w:rsidRPr="00FB717D" w:rsidRDefault="00D3782C" w:rsidP="00D3782C">
      <w:pPr>
        <w:pStyle w:val="LevelI"/>
      </w:pPr>
      <w:r w:rsidRPr="00FB717D">
        <w:t>Records</w:t>
      </w:r>
    </w:p>
    <w:p w14:paraId="68AC76EA" w14:textId="77777777" w:rsidR="00D3782C" w:rsidRPr="005955A4" w:rsidRDefault="00D3782C" w:rsidP="00E12136">
      <w:pPr>
        <w:pStyle w:val="LevelA0"/>
        <w:numPr>
          <w:ilvl w:val="0"/>
          <w:numId w:val="20"/>
        </w:numPr>
      </w:pPr>
      <w:r w:rsidRPr="005955A4">
        <w:t xml:space="preserve">Identification of Equipment </w:t>
      </w:r>
      <w:r w:rsidRPr="005955A4">
        <w:br/>
        <w:t xml:space="preserve">See </w:t>
      </w:r>
      <w:hyperlink w:anchor="Inventory_Mgt" w:history="1">
        <w:r w:rsidRPr="00E12136">
          <w:rPr>
            <w:rStyle w:val="Hyperlink"/>
            <w:szCs w:val="20"/>
          </w:rPr>
          <w:t>Inventory and Asset Management</w:t>
        </w:r>
      </w:hyperlink>
      <w:r w:rsidRPr="005955A4">
        <w:t xml:space="preserve"> of the Financial Management of Property, Plant and Equipment Policy. </w:t>
      </w:r>
    </w:p>
    <w:p w14:paraId="3B5ADFB3" w14:textId="77777777" w:rsidR="00D3782C" w:rsidRPr="005955A4" w:rsidRDefault="00D3782C" w:rsidP="00E12136">
      <w:pPr>
        <w:pStyle w:val="LevelA0"/>
      </w:pPr>
      <w:r w:rsidRPr="4EF386F1">
        <w:rPr>
          <w:lang w:val="en-US"/>
        </w:rPr>
        <w:t>Tagging Equipment</w:t>
      </w:r>
      <w:r>
        <w:br/>
      </w:r>
      <w:r w:rsidRPr="4EF386F1">
        <w:rPr>
          <w:lang w:val="en-US"/>
        </w:rPr>
        <w:t>All equipment that is the property of the federal government, whether Government-Titled Equipment or Government-Furnished Property, must be tagged with an additional tag identifying it as government property.</w:t>
      </w:r>
    </w:p>
    <w:p w14:paraId="2844B710" w14:textId="77777777" w:rsidR="00D3782C" w:rsidRPr="005955A4" w:rsidRDefault="00D3782C" w:rsidP="00D3782C">
      <w:pPr>
        <w:ind w:left="720"/>
      </w:pPr>
      <w:r w:rsidRPr="005955A4">
        <w:t xml:space="preserve">See </w:t>
      </w:r>
      <w:hyperlink w:anchor="Inventory_Mgt" w:history="1">
        <w:r w:rsidRPr="005955A4">
          <w:rPr>
            <w:rStyle w:val="Hyperlink"/>
            <w:rFonts w:cstheme="minorHAnsi"/>
            <w:bCs/>
            <w:szCs w:val="20"/>
          </w:rPr>
          <w:t>Inventory and Asset Management</w:t>
        </w:r>
      </w:hyperlink>
      <w:r w:rsidRPr="005955A4">
        <w:t xml:space="preserve"> of the Financial Management of Property, Plant and Equipment Policy. </w:t>
      </w:r>
    </w:p>
    <w:p w14:paraId="6F2F9CE7" w14:textId="7ED05EE8" w:rsidR="00D3782C" w:rsidRPr="005955A4" w:rsidRDefault="33D8210A" w:rsidP="00E12136">
      <w:pPr>
        <w:pStyle w:val="LevelA0"/>
      </w:pPr>
      <w:r w:rsidRPr="091AD4BD">
        <w:t xml:space="preserve">Inventory Control </w:t>
      </w:r>
      <w:r w:rsidR="00D3782C">
        <w:br/>
      </w:r>
      <w:r w:rsidRPr="091AD4BD">
        <w:t xml:space="preserve">Federal regulations require any area with federally-sponsored research perform a full physical inventory of </w:t>
      </w:r>
      <w:r w:rsidRPr="091AD4BD">
        <w:rPr>
          <w:u w:val="single"/>
        </w:rPr>
        <w:t>all</w:t>
      </w:r>
      <w:r w:rsidRPr="091AD4BD">
        <w:t xml:space="preserve"> sponsored and non-sponsored equipment with an original price of $</w:t>
      </w:r>
      <w:r w:rsidR="627DD21F" w:rsidRPr="091AD4BD">
        <w:t>10</w:t>
      </w:r>
      <w:r w:rsidRPr="091AD4BD">
        <w:t>,000 or more every two years to verify both the accuracy of equipment records and the existence and current use of equipment (whether purchased, fabricated or furnished).</w:t>
      </w:r>
      <w:r w:rsidR="04BC70C2" w:rsidRPr="091AD4BD">
        <w:t xml:space="preserve"> </w:t>
      </w:r>
      <w:r w:rsidR="2CACD74A" w:rsidRPr="091AD4BD">
        <w:t xml:space="preserve"> .</w:t>
      </w:r>
      <w:r w:rsidRPr="091AD4BD">
        <w:t xml:space="preserve"> </w:t>
      </w:r>
      <w:r w:rsidR="2E59E374" w:rsidRPr="091AD4BD">
        <w:t xml:space="preserve">One </w:t>
      </w:r>
      <w:r w:rsidR="598F4A4D" w:rsidRPr="091AD4BD">
        <w:t>exception</w:t>
      </w:r>
      <w:r w:rsidR="2E59E374" w:rsidRPr="091AD4BD">
        <w:t xml:space="preserve"> is </w:t>
      </w:r>
      <w:r w:rsidR="00022126">
        <w:t xml:space="preserve">non-sponsored </w:t>
      </w:r>
      <w:r w:rsidR="2E59E374" w:rsidRPr="091AD4BD">
        <w:t>a</w:t>
      </w:r>
      <w:r w:rsidR="2E59E374">
        <w:t>ssets that are fully depreciated and have no depreciation expense within the 2-year inventory cycle only need to be inventoried if the cost is $</w:t>
      </w:r>
      <w:r w:rsidR="00EA5D43">
        <w:t>5</w:t>
      </w:r>
      <w:r w:rsidR="2E59E374">
        <w:t>0,000 or more</w:t>
      </w:r>
      <w:r w:rsidR="54546DEA">
        <w:t xml:space="preserve"> since no depreciation was claimed as part of an indirect cost rate proposal</w:t>
      </w:r>
      <w:r w:rsidR="2E59E374">
        <w:t xml:space="preserve">.  </w:t>
      </w:r>
      <w:r w:rsidRPr="091AD4BD">
        <w:t xml:space="preserve">Inventory records must contain information necessary to identify the equipment including equipment description, serial number, acquisition information and location. It is the responsibility of the areas to perform the federal and University-required inventories and maintain all inventory and equipment records. See </w:t>
      </w:r>
      <w:hyperlink r:id="rId26">
        <w:r w:rsidRPr="091AD4BD">
          <w:rPr>
            <w:rStyle w:val="Hyperlink"/>
            <w:lang w:val="en-US"/>
          </w:rPr>
          <w:t>Fixed Assets Inventory Job Aids</w:t>
        </w:r>
      </w:hyperlink>
      <w:r w:rsidRPr="091AD4BD">
        <w:t>.</w:t>
      </w:r>
    </w:p>
    <w:p w14:paraId="10A33DAF" w14:textId="77777777" w:rsidR="00D3782C" w:rsidRPr="005955A4" w:rsidRDefault="00D3782C" w:rsidP="00E12136">
      <w:pPr>
        <w:pStyle w:val="LevelA0"/>
        <w:numPr>
          <w:ilvl w:val="0"/>
          <w:numId w:val="20"/>
        </w:numPr>
      </w:pPr>
      <w:r w:rsidRPr="005955A4">
        <w:t>Movement of Equipment</w:t>
      </w:r>
    </w:p>
    <w:p w14:paraId="61822E7A" w14:textId="77777777" w:rsidR="00D3782C" w:rsidRPr="005955A4" w:rsidRDefault="00D3782C" w:rsidP="00D3782C">
      <w:pPr>
        <w:ind w:left="720"/>
      </w:pPr>
      <w:r w:rsidRPr="005955A4">
        <w:t xml:space="preserve">The movement of Government-Titled Equipment must be registered with the area-level equipment manager using an </w:t>
      </w:r>
      <w:hyperlink r:id="rId27" w:history="1">
        <w:r w:rsidRPr="005955A4">
          <w:rPr>
            <w:rStyle w:val="Hyperlink"/>
            <w:rFonts w:ascii="Calibri" w:hAnsi="Calibri" w:cstheme="minorHAnsi"/>
            <w:szCs w:val="20"/>
          </w:rPr>
          <w:t>Offsite Equipment Form</w:t>
        </w:r>
      </w:hyperlink>
      <w:r w:rsidRPr="005955A4">
        <w:rPr>
          <w:color w:val="FF0000"/>
        </w:rPr>
        <w:t xml:space="preserve"> </w:t>
      </w:r>
      <w:r w:rsidRPr="005955A4">
        <w:t>regardless of the duration of removal from its recorded location.</w:t>
      </w:r>
    </w:p>
    <w:p w14:paraId="5A3DD83C" w14:textId="77777777" w:rsidR="00D3782C" w:rsidRPr="005955A4" w:rsidRDefault="00D3782C" w:rsidP="00D3782C">
      <w:pPr>
        <w:ind w:left="720"/>
      </w:pPr>
      <w:r w:rsidRPr="005955A4">
        <w:t xml:space="preserve">Additionally, the movement of Harvard equipment to international locations is subject to export controls. Please contact the area equipment manager and the area’s </w:t>
      </w:r>
      <w:hyperlink r:id="rId28" w:history="1">
        <w:r w:rsidRPr="005955A4">
          <w:rPr>
            <w:rStyle w:val="Hyperlink"/>
            <w:rFonts w:cstheme="minorHAnsi"/>
            <w:szCs w:val="20"/>
          </w:rPr>
          <w:t>Export Control Officer</w:t>
        </w:r>
      </w:hyperlink>
      <w:r w:rsidRPr="005955A4">
        <w:t>.</w:t>
      </w:r>
    </w:p>
    <w:p w14:paraId="119D4E71" w14:textId="77777777" w:rsidR="00D3782C" w:rsidRPr="005955A4" w:rsidRDefault="00D3782C" w:rsidP="00D3782C">
      <w:pPr>
        <w:ind w:left="720"/>
      </w:pPr>
      <w:r w:rsidRPr="005955A4">
        <w:t xml:space="preserve">See </w:t>
      </w:r>
      <w:hyperlink w:anchor="Inventory_Mgt" w:history="1">
        <w:r w:rsidRPr="005955A4">
          <w:rPr>
            <w:rStyle w:val="Hyperlink"/>
            <w:rFonts w:cstheme="minorHAnsi"/>
            <w:bCs/>
            <w:szCs w:val="20"/>
          </w:rPr>
          <w:t>Inventory and Asset Management</w:t>
        </w:r>
      </w:hyperlink>
      <w:r w:rsidRPr="005955A4">
        <w:t xml:space="preserve"> of the Financial Management of Property, Plant and Equipment Policy. </w:t>
      </w:r>
    </w:p>
    <w:p w14:paraId="5AD6F3F4" w14:textId="77777777" w:rsidR="00D3782C" w:rsidRPr="00C349EA" w:rsidRDefault="00D3782C" w:rsidP="00D3782C">
      <w:pPr>
        <w:pStyle w:val="LevelI"/>
        <w:rPr>
          <w:rFonts w:cstheme="minorHAnsi"/>
          <w:bCs/>
          <w:szCs w:val="20"/>
        </w:rPr>
      </w:pPr>
      <w:r>
        <w:rPr>
          <w:rFonts w:cstheme="minorHAnsi"/>
          <w:bCs/>
          <w:szCs w:val="20"/>
        </w:rPr>
        <w:t>Disposition, Retirement and Impairment</w:t>
      </w:r>
      <w:r w:rsidRPr="00E11A89">
        <w:t xml:space="preserve"> </w:t>
      </w:r>
      <w:r w:rsidRPr="00896EC4">
        <w:t xml:space="preserve">- See </w:t>
      </w:r>
      <w:hyperlink w:anchor="Appendix_D_Sales" w:history="1">
        <w:r w:rsidRPr="00896EC4">
          <w:rPr>
            <w:rStyle w:val="Hyperlink"/>
          </w:rPr>
          <w:t>Appendix D</w:t>
        </w:r>
      </w:hyperlink>
    </w:p>
    <w:p w14:paraId="0359CC9C" w14:textId="77777777" w:rsidR="00D3782C" w:rsidRPr="00E11A89" w:rsidRDefault="00D3782C" w:rsidP="00E12136">
      <w:pPr>
        <w:pStyle w:val="LevelA0"/>
        <w:numPr>
          <w:ilvl w:val="0"/>
          <w:numId w:val="21"/>
        </w:numPr>
      </w:pPr>
      <w:bookmarkStart w:id="3" w:name="Appendix_A_Retirement"/>
      <w:r w:rsidRPr="00E11A89">
        <w:t xml:space="preserve">Retirement of Sponsor-Funded </w:t>
      </w:r>
      <w:bookmarkEnd w:id="3"/>
      <w:r w:rsidRPr="00E11A89">
        <w:t>or Sponsor-Titled Equipment</w:t>
      </w:r>
    </w:p>
    <w:p w14:paraId="270B1E8B" w14:textId="77777777" w:rsidR="00D3782C" w:rsidRDefault="00D3782C" w:rsidP="00D3782C">
      <w:pPr>
        <w:ind w:left="720"/>
      </w:pPr>
      <w:r w:rsidRPr="009911E3">
        <w:t>Equipment purchased with sponsor</w:t>
      </w:r>
      <w:r>
        <w:t>ed</w:t>
      </w:r>
      <w:r w:rsidRPr="009911E3">
        <w:t xml:space="preserve"> funds is often subject to sponsor-specific disposition restrictions and </w:t>
      </w:r>
      <w:r>
        <w:t>may require additional sponsor</w:t>
      </w:r>
      <w:r w:rsidRPr="009911E3">
        <w:t xml:space="preserve"> approval</w:t>
      </w:r>
      <w:r>
        <w:t xml:space="preserve"> before disposition.</w:t>
      </w:r>
      <w:r w:rsidRPr="009911E3">
        <w:t xml:space="preserve"> </w:t>
      </w:r>
      <w:r>
        <w:t>The area equipment manager will work with</w:t>
      </w:r>
      <w:r w:rsidRPr="009911E3">
        <w:t xml:space="preserve"> the O</w:t>
      </w:r>
      <w:r>
        <w:t xml:space="preserve">ffice for Sponsored Programs (OSP) to comply with any relevant </w:t>
      </w:r>
      <w:r w:rsidRPr="009911E3">
        <w:t>sponsor restrictions.</w:t>
      </w:r>
      <w:r>
        <w:t xml:space="preserve"> Additionally, any retirement request for capital equipment purchased on an active sponsored award should be reviewed by the area sponsored research office and OSP. Sponsor-titled equipment may not be removed from University premises or oversight without prior approval of the sponsor and OSP.</w:t>
      </w:r>
    </w:p>
    <w:p w14:paraId="709F71DE" w14:textId="77777777" w:rsidR="00D3782C" w:rsidRPr="00132B91" w:rsidRDefault="00D3782C" w:rsidP="00E12136">
      <w:pPr>
        <w:pStyle w:val="LevelA0"/>
      </w:pPr>
      <w:r w:rsidRPr="00132B91">
        <w:t xml:space="preserve">Equipment Sales (See </w:t>
      </w:r>
      <w:hyperlink w:anchor="Appendix_D_Disposals" w:history="1">
        <w:r w:rsidRPr="00132B91">
          <w:rPr>
            <w:rStyle w:val="Hyperlink"/>
          </w:rPr>
          <w:t>Appendix D</w:t>
        </w:r>
      </w:hyperlink>
      <w:r w:rsidRPr="00132B91">
        <w:t>)</w:t>
      </w:r>
    </w:p>
    <w:p w14:paraId="2FE03468" w14:textId="77777777" w:rsidR="00D3782C" w:rsidRPr="00211F87" w:rsidRDefault="00D3782C" w:rsidP="00D3782C">
      <w:pPr>
        <w:ind w:left="720"/>
      </w:pPr>
      <w:r>
        <w:t>The University does not allow the sale of sponsor-funded equipment; exceptions to this policy are rare and are reviewed by the area equipment manager, area sponsored research office, the school or unit finance office and OSP on a case-by-case basis.</w:t>
      </w:r>
      <w:r w:rsidRPr="00E17FF8">
        <w:t xml:space="preserve"> </w:t>
      </w:r>
      <w:r>
        <w:t xml:space="preserve">Sales or </w:t>
      </w:r>
      <w:hyperlink r:id="rId29" w:history="1">
        <w:r w:rsidRPr="002D7569">
          <w:rPr>
            <w:rStyle w:val="Hyperlink"/>
            <w:rFonts w:cstheme="minorHAnsi"/>
            <w:bCs/>
          </w:rPr>
          <w:t xml:space="preserve">Unrelated Business Income Tax </w:t>
        </w:r>
      </w:hyperlink>
      <w:r>
        <w:t>may apply. Contact the Tax Reporting Office for additional information.</w:t>
      </w:r>
    </w:p>
    <w:p w14:paraId="47473CD8" w14:textId="77777777" w:rsidR="00D3782C" w:rsidRPr="009911E3" w:rsidRDefault="00D3782C" w:rsidP="00D3782C">
      <w:pPr>
        <w:pStyle w:val="PolicyHeader2"/>
      </w:pPr>
      <w:r w:rsidRPr="009911E3">
        <w:t xml:space="preserve">Responsibilities and Contacts – Summary for Capital Equipment </w:t>
      </w:r>
      <w:r>
        <w:t>for Areas</w:t>
      </w:r>
      <w:r w:rsidRPr="009911E3">
        <w:t xml:space="preserve"> with Sponsored Research</w:t>
      </w:r>
    </w:p>
    <w:p w14:paraId="12F5F3C0" w14:textId="77777777" w:rsidR="00D3782C" w:rsidRPr="007B577D" w:rsidRDefault="00D3782C" w:rsidP="00D3782C">
      <w:pPr>
        <w:rPr>
          <w:rFonts w:cstheme="minorHAnsi"/>
          <w:sz w:val="8"/>
          <w:szCs w:val="8"/>
        </w:rPr>
      </w:pPr>
    </w:p>
    <w:p w14:paraId="0094D8F5" w14:textId="77777777" w:rsidR="00D3782C" w:rsidRPr="00281B4C" w:rsidRDefault="00D3782C" w:rsidP="00D3782C">
      <w:pPr>
        <w:rPr>
          <w:rFonts w:cstheme="minorHAnsi"/>
        </w:rPr>
      </w:pPr>
      <w:r w:rsidRPr="00281B4C">
        <w:rPr>
          <w:rFonts w:cstheme="minorHAnsi"/>
          <w:b/>
        </w:rPr>
        <w:t>Harvard University</w:t>
      </w:r>
      <w:r w:rsidRPr="00281B4C">
        <w:rPr>
          <w:rFonts w:cstheme="minorHAnsi"/>
        </w:rPr>
        <w:t>: Harvard University is responsible for capital equipment in accordance with the provisions of the corresponding sponsored project and federal guidelines. Harvard has a decentralized equipment management structure under which individual areas are responsible for most aspects of sponsored equipment management. Management of capital equipment includes proper records maintenance, safeguarding of equipment, and assurance that disposition or encumbrance of equipment is performed in accordance with federal and other sponsor requirements.</w:t>
      </w:r>
    </w:p>
    <w:p w14:paraId="6953D810" w14:textId="77777777" w:rsidR="00D3782C" w:rsidRPr="00281B4C" w:rsidRDefault="00D3782C" w:rsidP="00D3782C">
      <w:pPr>
        <w:contextualSpacing/>
        <w:rPr>
          <w:rFonts w:cstheme="minorHAnsi"/>
        </w:rPr>
      </w:pPr>
      <w:r w:rsidRPr="00281B4C">
        <w:rPr>
          <w:rFonts w:cstheme="minorHAnsi"/>
          <w:b/>
        </w:rPr>
        <w:t>Principal Investigators</w:t>
      </w:r>
      <w:r w:rsidRPr="00281B4C">
        <w:rPr>
          <w:rFonts w:cstheme="minorHAnsi"/>
        </w:rPr>
        <w:t>: Principal Investigators (PIs) are responsible for the management of capital equipment under their sponsored awards and have ultimate responsibility for compliance with this policy and the terms and conditions of the sponsored award. PIs are responsible for tracking equipment used in their lab or under their direction, assisting in the completion of reports and physical inventories, and prompt notification of the area equipment manager and department of any changes with respect to condition, location, loss, or damage.</w:t>
      </w:r>
    </w:p>
    <w:p w14:paraId="5094CC55" w14:textId="77777777" w:rsidR="00D3782C" w:rsidRPr="00281B4C" w:rsidRDefault="00D3782C" w:rsidP="00D3782C">
      <w:pPr>
        <w:contextualSpacing/>
        <w:rPr>
          <w:rFonts w:cstheme="minorHAnsi"/>
        </w:rPr>
      </w:pPr>
      <w:r w:rsidRPr="00281B4C">
        <w:rPr>
          <w:rFonts w:cstheme="minorHAnsi"/>
          <w:b/>
        </w:rPr>
        <w:t>Areas with Sponsored Research</w:t>
      </w:r>
      <w:r w:rsidRPr="00281B4C">
        <w:rPr>
          <w:rFonts w:cstheme="minorHAnsi"/>
        </w:rPr>
        <w:t>: Areas are responsible for maintaining their equipment records in Oracle Fixed Assets. In addition, areas are responsible for using, maintaining, protecting, and disposing of capital equipment according to the terms and conditions of the sponsored award through which the equipment was acquired. Areas are also responsible for following University capital equipment policies. Contact your area’s equipment manager for additional guidance.</w:t>
      </w:r>
      <w:r w:rsidRPr="00281B4C">
        <w:rPr>
          <w:rFonts w:cstheme="minorHAnsi"/>
        </w:rPr>
        <w:br/>
      </w:r>
      <w:r w:rsidRPr="00281B4C">
        <w:rPr>
          <w:rFonts w:cstheme="minorHAnsi"/>
          <w:b/>
        </w:rPr>
        <w:t xml:space="preserve">Office for Sponsored Programs: </w:t>
      </w:r>
      <w:r w:rsidRPr="00281B4C">
        <w:rPr>
          <w:rFonts w:cstheme="minorHAnsi"/>
        </w:rPr>
        <w:t>The Office for Sponsored Programs (OSP) is responsible for providing sponsored policy and procedural guidance. OSP is also responsible for responding to requests for reports and information from sponsors, auditors and other parties. OSP, on behalf of the areas, submits federal reports to the government (e.g. NASA form 1018).</w:t>
      </w:r>
    </w:p>
    <w:p w14:paraId="776FBB1B" w14:textId="77777777" w:rsidR="00D3782C" w:rsidRPr="00281B4C" w:rsidRDefault="00D3782C" w:rsidP="00D3782C">
      <w:pPr>
        <w:rPr>
          <w:rFonts w:cstheme="minorHAnsi"/>
        </w:rPr>
      </w:pPr>
      <w:r w:rsidRPr="00281B4C">
        <w:rPr>
          <w:rFonts w:cstheme="minorHAnsi"/>
          <w:b/>
        </w:rPr>
        <w:t>Financial Accounting and Reporting</w:t>
      </w:r>
      <w:r w:rsidRPr="00281B4C">
        <w:rPr>
          <w:rFonts w:cstheme="minorHAnsi"/>
        </w:rPr>
        <w:t xml:space="preserve">: Financial Accounting and Reporting (FAR), within the Office of the Controller, maintains capital equipment policies to ensure adherence with Generally Accepted Accounting Principles (GAAP) and other regulatory requirements, to promote consistent accounting treatment across the University, and to ensure the operating results of University school and units are not misstated as a result </w:t>
      </w:r>
      <w:proofErr w:type="gramStart"/>
      <w:r w:rsidRPr="00281B4C">
        <w:rPr>
          <w:rFonts w:cstheme="minorHAnsi"/>
        </w:rPr>
        <w:t>of transactions</w:t>
      </w:r>
      <w:proofErr w:type="gramEnd"/>
      <w:r w:rsidRPr="00281B4C">
        <w:rPr>
          <w:rFonts w:cstheme="minorHAnsi"/>
        </w:rPr>
        <w:t xml:space="preserve"> unrecorded or recorded improperly.</w:t>
      </w:r>
    </w:p>
    <w:p w14:paraId="146A0009" w14:textId="77777777" w:rsidR="00D3782C" w:rsidRDefault="00D3782C" w:rsidP="00D3782C">
      <w:pPr>
        <w:pStyle w:val="PolicyHeader2"/>
      </w:pPr>
      <w:r w:rsidRPr="009911E3">
        <w:t>Definitions</w:t>
      </w:r>
      <w:r>
        <w:t xml:space="preserve"> – S</w:t>
      </w:r>
      <w:r w:rsidRPr="00073B35">
        <w:t xml:space="preserve">ee </w:t>
      </w:r>
      <w:hyperlink w:anchor="Appendix_F_Definitions" w:history="1">
        <w:r w:rsidRPr="00637211">
          <w:rPr>
            <w:rStyle w:val="Hyperlink"/>
            <w:b w:val="0"/>
            <w:szCs w:val="20"/>
          </w:rPr>
          <w:t>Appendix G</w:t>
        </w:r>
      </w:hyperlink>
    </w:p>
    <w:p w14:paraId="1D5F6422" w14:textId="43FB953F" w:rsidR="00281B4C" w:rsidRPr="00281B4C" w:rsidRDefault="00281B4C" w:rsidP="00281B4C">
      <w:pPr>
        <w:rPr>
          <w:rFonts w:cstheme="minorHAnsi"/>
        </w:rPr>
      </w:pPr>
    </w:p>
    <w:p w14:paraId="4E0C4FA5" w14:textId="77777777" w:rsidR="00D3782C" w:rsidRPr="009911E3" w:rsidRDefault="00D3782C" w:rsidP="00281B4C">
      <w:pPr>
        <w:pStyle w:val="PolicyHeader2"/>
      </w:pPr>
      <w:r w:rsidRPr="009911E3">
        <w:t>Related Resources</w:t>
      </w:r>
    </w:p>
    <w:p w14:paraId="49584C06" w14:textId="77777777" w:rsidR="00D3782C" w:rsidRPr="00E61479" w:rsidRDefault="00D3782C" w:rsidP="00D3782C">
      <w:pPr>
        <w:spacing w:after="0"/>
        <w:rPr>
          <w:rStyle w:val="Hyperlink"/>
          <w:rFonts w:ascii="Calibri" w:hAnsi="Calibri"/>
          <w:szCs w:val="20"/>
        </w:rPr>
      </w:pPr>
      <w:r>
        <w:rPr>
          <w:sz w:val="20"/>
          <w:szCs w:val="20"/>
        </w:rPr>
        <w:fldChar w:fldCharType="begin"/>
      </w:r>
      <w:r>
        <w:rPr>
          <w:sz w:val="20"/>
          <w:szCs w:val="20"/>
        </w:rPr>
        <w:instrText>HYPERLINK "https://trainingportal.harvard.edu/Saba/Web_spf/NA1PRD0068/app/workspace/detail/pgcnt000000000116897?selectedFirstContainerId=pgcnt000000000116899&amp;selectedPageId=spage000000000006267"</w:instrText>
      </w:r>
      <w:r>
        <w:rPr>
          <w:sz w:val="20"/>
          <w:szCs w:val="20"/>
        </w:rPr>
      </w:r>
      <w:r>
        <w:rPr>
          <w:sz w:val="20"/>
          <w:szCs w:val="20"/>
        </w:rPr>
        <w:fldChar w:fldCharType="separate"/>
      </w:r>
      <w:r w:rsidRPr="00E61479">
        <w:rPr>
          <w:rStyle w:val="Hyperlink"/>
          <w:szCs w:val="20"/>
        </w:rPr>
        <w:t>Capital Equipment Policy Training</w:t>
      </w:r>
    </w:p>
    <w:p w14:paraId="5B696F46" w14:textId="77777777" w:rsidR="00D3782C" w:rsidRPr="009911E3" w:rsidRDefault="00D3782C" w:rsidP="00D3782C">
      <w:pPr>
        <w:spacing w:after="0"/>
        <w:rPr>
          <w:rFonts w:cstheme="minorHAnsi"/>
          <w:sz w:val="20"/>
          <w:szCs w:val="20"/>
        </w:rPr>
      </w:pPr>
      <w:r>
        <w:rPr>
          <w:sz w:val="20"/>
          <w:szCs w:val="20"/>
        </w:rPr>
        <w:fldChar w:fldCharType="end"/>
      </w:r>
      <w:hyperlink r:id="rId30" w:history="1">
        <w:r w:rsidRPr="00BE418E">
          <w:rPr>
            <w:rStyle w:val="Hyperlink"/>
            <w:rFonts w:cstheme="minorHAnsi"/>
            <w:szCs w:val="20"/>
          </w:rPr>
          <w:t>Government-</w:t>
        </w:r>
        <w:r>
          <w:rPr>
            <w:rStyle w:val="Hyperlink"/>
            <w:rFonts w:cstheme="minorHAnsi"/>
            <w:szCs w:val="20"/>
          </w:rPr>
          <w:t>O</w:t>
        </w:r>
        <w:r w:rsidRPr="00BE418E">
          <w:rPr>
            <w:rStyle w:val="Hyperlink"/>
            <w:rFonts w:cstheme="minorHAnsi"/>
            <w:szCs w:val="20"/>
          </w:rPr>
          <w:t>wned Property Overview and Procedures</w:t>
        </w:r>
      </w:hyperlink>
      <w:r w:rsidRPr="00BE418E">
        <w:rPr>
          <w:rFonts w:cstheme="minorHAnsi"/>
          <w:sz w:val="20"/>
          <w:szCs w:val="20"/>
        </w:rPr>
        <w:t xml:space="preserve"> </w:t>
      </w:r>
      <w:r w:rsidRPr="009911E3">
        <w:rPr>
          <w:rFonts w:cstheme="minorHAnsi"/>
          <w:sz w:val="20"/>
          <w:szCs w:val="20"/>
        </w:rPr>
        <w:t xml:space="preserve">provides information on managing government-furnished property (GFP) and government-titled equipment (GTE). </w:t>
      </w:r>
    </w:p>
    <w:p w14:paraId="76DEBC40" w14:textId="77777777" w:rsidR="00D3782C" w:rsidRDefault="00D3782C" w:rsidP="00D3782C">
      <w:pPr>
        <w:spacing w:after="0"/>
        <w:rPr>
          <w:rFonts w:cstheme="minorHAnsi"/>
          <w:sz w:val="20"/>
          <w:szCs w:val="20"/>
        </w:rPr>
      </w:pPr>
      <w:hyperlink r:id="rId31" w:history="1">
        <w:r w:rsidRPr="00584803">
          <w:rPr>
            <w:rStyle w:val="Hyperlink"/>
            <w:rFonts w:cstheme="minorHAnsi"/>
            <w:szCs w:val="20"/>
          </w:rPr>
          <w:t>Financial Management of Facilities and Equipment Policy</w:t>
        </w:r>
      </w:hyperlink>
      <w:r w:rsidRPr="00584803">
        <w:rPr>
          <w:rFonts w:cstheme="minorHAnsi"/>
          <w:sz w:val="20"/>
          <w:szCs w:val="20"/>
        </w:rPr>
        <w:t xml:space="preserve"> </w:t>
      </w:r>
      <w:r w:rsidRPr="009911E3">
        <w:rPr>
          <w:rFonts w:cstheme="minorHAnsi"/>
          <w:b/>
          <w:sz w:val="20"/>
          <w:szCs w:val="20"/>
        </w:rPr>
        <w:t>–</w:t>
      </w:r>
      <w:r w:rsidRPr="009911E3">
        <w:rPr>
          <w:rFonts w:cstheme="minorHAnsi"/>
          <w:sz w:val="20"/>
          <w:szCs w:val="20"/>
        </w:rPr>
        <w:t>for all capital assets at the University (including equipment, buildings and land)</w:t>
      </w:r>
      <w:r>
        <w:rPr>
          <w:rFonts w:cstheme="minorHAnsi"/>
          <w:sz w:val="20"/>
          <w:szCs w:val="20"/>
        </w:rPr>
        <w:t>.</w:t>
      </w:r>
    </w:p>
    <w:p w14:paraId="59E8CBB3" w14:textId="77777777" w:rsidR="00D3782C" w:rsidRDefault="00D3782C" w:rsidP="00D3782C">
      <w:pPr>
        <w:spacing w:after="0"/>
        <w:rPr>
          <w:rFonts w:cstheme="minorHAnsi"/>
          <w:sz w:val="20"/>
          <w:szCs w:val="20"/>
        </w:rPr>
      </w:pPr>
      <w:hyperlink r:id="rId32" w:history="1">
        <w:r w:rsidRPr="00DA2336">
          <w:rPr>
            <w:rStyle w:val="Hyperlink"/>
            <w:rFonts w:ascii="Calibri" w:hAnsi="Calibri" w:cstheme="minorHAnsi"/>
            <w:szCs w:val="20"/>
          </w:rPr>
          <w:t>Procurement Policy</w:t>
        </w:r>
      </w:hyperlink>
    </w:p>
    <w:p w14:paraId="52DB73F5" w14:textId="1AC69E58" w:rsidR="00D3782C" w:rsidRDefault="00D3782C" w:rsidP="00D3782C">
      <w:pPr>
        <w:spacing w:after="0" w:line="240" w:lineRule="auto"/>
      </w:pPr>
    </w:p>
    <w:sectPr w:rsidR="00D3782C" w:rsidSect="001F1532">
      <w:pgSz w:w="12240" w:h="15840" w:code="1"/>
      <w:pgMar w:top="1440" w:right="1440" w:bottom="1440" w:left="1440" w:header="547"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AF55" w14:textId="77777777" w:rsidR="003E309B" w:rsidRDefault="003E309B">
      <w:pPr>
        <w:spacing w:after="0" w:line="240" w:lineRule="auto"/>
      </w:pPr>
      <w:r>
        <w:separator/>
      </w:r>
    </w:p>
  </w:endnote>
  <w:endnote w:type="continuationSeparator" w:id="0">
    <w:p w14:paraId="6A2F581C" w14:textId="77777777" w:rsidR="003E309B" w:rsidRDefault="003E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406192"/>
      <w:docPartObj>
        <w:docPartGallery w:val="Page Numbers (Bottom of Page)"/>
        <w:docPartUnique/>
      </w:docPartObj>
    </w:sdtPr>
    <w:sdtContent>
      <w:sdt>
        <w:sdtPr>
          <w:id w:val="689650172"/>
          <w:docPartObj>
            <w:docPartGallery w:val="Page Numbers (Top of Page)"/>
            <w:docPartUnique/>
          </w:docPartObj>
        </w:sdtPr>
        <w:sdtContent>
          <w:p w14:paraId="064B6D06" w14:textId="77777777" w:rsidR="00DF5ABA" w:rsidRPr="003734D4" w:rsidRDefault="002636FA" w:rsidP="00B95AEE">
            <w:pPr>
              <w:pStyle w:val="Footer"/>
              <w:tabs>
                <w:tab w:val="clear" w:pos="4680"/>
                <w:tab w:val="center" w:pos="2610"/>
              </w:tabs>
              <w:spacing w:after="0" w:line="240" w:lineRule="auto"/>
              <w:jc w:val="center"/>
            </w:pPr>
            <w:r w:rsidRPr="003734D4">
              <w:rPr>
                <w:rFonts w:ascii="Arial" w:hAnsi="Arial" w:cs="Arial"/>
                <w:sz w:val="20"/>
                <w:szCs w:val="20"/>
              </w:rPr>
              <w:t xml:space="preserve">Page </w:t>
            </w:r>
            <w:r w:rsidRPr="003734D4">
              <w:rPr>
                <w:rFonts w:ascii="Arial" w:hAnsi="Arial" w:cs="Arial"/>
                <w:sz w:val="20"/>
                <w:szCs w:val="20"/>
              </w:rPr>
              <w:fldChar w:fldCharType="begin"/>
            </w:r>
            <w:r w:rsidRPr="003734D4">
              <w:rPr>
                <w:rFonts w:ascii="Arial" w:hAnsi="Arial" w:cs="Arial"/>
                <w:sz w:val="20"/>
                <w:szCs w:val="20"/>
              </w:rPr>
              <w:instrText xml:space="preserve"> PAGE </w:instrText>
            </w:r>
            <w:r w:rsidRPr="003734D4">
              <w:rPr>
                <w:rFonts w:ascii="Arial" w:hAnsi="Arial" w:cs="Arial"/>
                <w:sz w:val="20"/>
                <w:szCs w:val="20"/>
              </w:rPr>
              <w:fldChar w:fldCharType="separate"/>
            </w:r>
            <w:r w:rsidRPr="003734D4">
              <w:rPr>
                <w:rFonts w:ascii="Arial" w:hAnsi="Arial" w:cs="Arial"/>
                <w:noProof/>
                <w:sz w:val="20"/>
                <w:szCs w:val="20"/>
              </w:rPr>
              <w:t>2</w:t>
            </w:r>
            <w:r w:rsidRPr="003734D4">
              <w:rPr>
                <w:rFonts w:ascii="Arial" w:hAnsi="Arial" w:cs="Arial"/>
                <w:sz w:val="20"/>
                <w:szCs w:val="20"/>
              </w:rPr>
              <w:fldChar w:fldCharType="end"/>
            </w:r>
            <w:r w:rsidRPr="003734D4">
              <w:rPr>
                <w:rFonts w:ascii="Arial" w:hAnsi="Arial" w:cs="Arial"/>
                <w:sz w:val="20"/>
                <w:szCs w:val="20"/>
              </w:rPr>
              <w:t xml:space="preserve"> of </w:t>
            </w:r>
            <w:r w:rsidRPr="003734D4">
              <w:rPr>
                <w:rFonts w:ascii="Arial" w:hAnsi="Arial" w:cs="Arial"/>
                <w:sz w:val="20"/>
                <w:szCs w:val="20"/>
              </w:rPr>
              <w:fldChar w:fldCharType="begin"/>
            </w:r>
            <w:r w:rsidRPr="003734D4">
              <w:rPr>
                <w:rFonts w:ascii="Arial" w:hAnsi="Arial" w:cs="Arial"/>
                <w:sz w:val="20"/>
                <w:szCs w:val="20"/>
              </w:rPr>
              <w:instrText xml:space="preserve"> NUMPAGES  </w:instrText>
            </w:r>
            <w:r w:rsidRPr="003734D4">
              <w:rPr>
                <w:rFonts w:ascii="Arial" w:hAnsi="Arial" w:cs="Arial"/>
                <w:sz w:val="20"/>
                <w:szCs w:val="20"/>
              </w:rPr>
              <w:fldChar w:fldCharType="separate"/>
            </w:r>
            <w:r w:rsidRPr="003734D4">
              <w:rPr>
                <w:rFonts w:ascii="Arial" w:hAnsi="Arial" w:cs="Arial"/>
                <w:noProof/>
                <w:sz w:val="20"/>
                <w:szCs w:val="20"/>
              </w:rPr>
              <w:t>2</w:t>
            </w:r>
            <w:r w:rsidRPr="003734D4">
              <w:rPr>
                <w:rFonts w:ascii="Arial" w:hAnsi="Arial" w:cs="Arial"/>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708553"/>
      <w:docPartObj>
        <w:docPartGallery w:val="Page Numbers (Bottom of Page)"/>
        <w:docPartUnique/>
      </w:docPartObj>
    </w:sdtPr>
    <w:sdtContent>
      <w:sdt>
        <w:sdtPr>
          <w:id w:val="1273977418"/>
          <w:docPartObj>
            <w:docPartGallery w:val="Page Numbers (Top of Page)"/>
            <w:docPartUnique/>
          </w:docPartObj>
        </w:sdtPr>
        <w:sdtContent>
          <w:p w14:paraId="695B533C" w14:textId="77777777" w:rsidR="00DF5ABA" w:rsidRDefault="002636FA" w:rsidP="00B95AEE">
            <w:pPr>
              <w:pStyle w:val="Footer"/>
              <w:jc w:val="center"/>
            </w:pPr>
            <w:r w:rsidRPr="00146AD1">
              <w:rPr>
                <w:rFonts w:ascii="Arial" w:hAnsi="Arial" w:cs="Arial"/>
                <w:sz w:val="20"/>
                <w:szCs w:val="20"/>
              </w:rPr>
              <w:t xml:space="preserve">Page </w:t>
            </w:r>
            <w:r w:rsidRPr="008B4186">
              <w:rPr>
                <w:rFonts w:ascii="Arial" w:hAnsi="Arial" w:cs="Arial"/>
                <w:sz w:val="20"/>
                <w:szCs w:val="20"/>
              </w:rPr>
              <w:fldChar w:fldCharType="begin"/>
            </w:r>
            <w:r w:rsidRPr="008B4186">
              <w:rPr>
                <w:rFonts w:ascii="Arial" w:hAnsi="Arial" w:cs="Arial"/>
                <w:sz w:val="20"/>
                <w:szCs w:val="20"/>
              </w:rPr>
              <w:instrText xml:space="preserve"> PAGE </w:instrText>
            </w:r>
            <w:r w:rsidRPr="008B4186">
              <w:rPr>
                <w:rFonts w:ascii="Arial" w:hAnsi="Arial" w:cs="Arial"/>
                <w:sz w:val="20"/>
                <w:szCs w:val="20"/>
              </w:rPr>
              <w:fldChar w:fldCharType="separate"/>
            </w:r>
            <w:r w:rsidRPr="008B4186">
              <w:rPr>
                <w:rFonts w:ascii="Arial" w:hAnsi="Arial" w:cs="Arial"/>
                <w:noProof/>
                <w:sz w:val="20"/>
                <w:szCs w:val="20"/>
              </w:rPr>
              <w:t>2</w:t>
            </w:r>
            <w:r w:rsidRPr="008B4186">
              <w:rPr>
                <w:rFonts w:ascii="Arial" w:hAnsi="Arial" w:cs="Arial"/>
                <w:sz w:val="20"/>
                <w:szCs w:val="20"/>
              </w:rPr>
              <w:fldChar w:fldCharType="end"/>
            </w:r>
            <w:r w:rsidRPr="00146AD1">
              <w:rPr>
                <w:rFonts w:ascii="Arial" w:hAnsi="Arial" w:cs="Arial"/>
                <w:sz w:val="20"/>
                <w:szCs w:val="20"/>
              </w:rPr>
              <w:t xml:space="preserve"> of </w:t>
            </w:r>
            <w:r w:rsidRPr="008B4186">
              <w:rPr>
                <w:rFonts w:ascii="Arial" w:hAnsi="Arial" w:cs="Arial"/>
                <w:sz w:val="20"/>
                <w:szCs w:val="20"/>
              </w:rPr>
              <w:fldChar w:fldCharType="begin"/>
            </w:r>
            <w:r w:rsidRPr="008B4186">
              <w:rPr>
                <w:rFonts w:ascii="Arial" w:hAnsi="Arial" w:cs="Arial"/>
                <w:sz w:val="20"/>
                <w:szCs w:val="20"/>
              </w:rPr>
              <w:instrText xml:space="preserve"> NUMPAGES  </w:instrText>
            </w:r>
            <w:r w:rsidRPr="008B4186">
              <w:rPr>
                <w:rFonts w:ascii="Arial" w:hAnsi="Arial" w:cs="Arial"/>
                <w:sz w:val="20"/>
                <w:szCs w:val="20"/>
              </w:rPr>
              <w:fldChar w:fldCharType="separate"/>
            </w:r>
            <w:r w:rsidRPr="008B4186">
              <w:rPr>
                <w:rFonts w:ascii="Arial" w:hAnsi="Arial" w:cs="Arial"/>
                <w:noProof/>
                <w:sz w:val="20"/>
                <w:szCs w:val="20"/>
              </w:rPr>
              <w:t>2</w:t>
            </w:r>
            <w:r w:rsidRPr="008B4186">
              <w:rPr>
                <w:rFonts w:ascii="Arial" w:hAnsi="Arial" w:cs="Arial"/>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ED6B" w14:textId="77777777" w:rsidR="003E309B" w:rsidRDefault="003E309B">
      <w:pPr>
        <w:spacing w:after="0" w:line="240" w:lineRule="auto"/>
      </w:pPr>
      <w:r>
        <w:separator/>
      </w:r>
    </w:p>
  </w:footnote>
  <w:footnote w:type="continuationSeparator" w:id="0">
    <w:p w14:paraId="33F6E252" w14:textId="77777777" w:rsidR="003E309B" w:rsidRDefault="003E3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70EE" w14:textId="77777777" w:rsidR="00DF5ABA" w:rsidRDefault="00B95AEE">
    <w:r>
      <w:rPr>
        <w:noProof/>
      </w:rPr>
      <w:pict w14:anchorId="5EA9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75141" o:spid="_x0000_s1025"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788B" w14:textId="77777777" w:rsidR="00DF5ABA" w:rsidRPr="0082166F" w:rsidRDefault="002636FA" w:rsidP="00B95AEE">
    <w:pPr>
      <w:pStyle w:val="Default"/>
      <w:jc w:val="right"/>
      <w:rPr>
        <w:sz w:val="20"/>
        <w:szCs w:val="20"/>
      </w:rPr>
    </w:pPr>
    <w:r w:rsidRPr="0082166F">
      <w:rPr>
        <w:sz w:val="20"/>
        <w:szCs w:val="20"/>
      </w:rPr>
      <w:t>Financial Management of Property, Plant and Equipment</w:t>
    </w:r>
  </w:p>
  <w:p w14:paraId="46A47697" w14:textId="4882DC99" w:rsidR="00DF5ABA" w:rsidRPr="0082166F" w:rsidRDefault="002636FA" w:rsidP="00B95AEE">
    <w:pPr>
      <w:pStyle w:val="Default"/>
      <w:jc w:val="right"/>
      <w:rPr>
        <w:sz w:val="20"/>
        <w:szCs w:val="20"/>
      </w:rPr>
    </w:pPr>
    <w:r w:rsidRPr="0082166F">
      <w:rPr>
        <w:sz w:val="20"/>
        <w:szCs w:val="20"/>
      </w:rPr>
      <w:tab/>
    </w:r>
    <w:r w:rsidR="091AD4BD" w:rsidRPr="0082166F">
      <w:rPr>
        <w:sz w:val="20"/>
        <w:szCs w:val="20"/>
      </w:rPr>
      <w:t>Revision Date: 07/01/2025</w:t>
    </w:r>
  </w:p>
  <w:p w14:paraId="2E664FB4" w14:textId="77777777" w:rsidR="00DF5ABA" w:rsidRPr="0082166F" w:rsidRDefault="002636FA" w:rsidP="00B95AEE">
    <w:pPr>
      <w:pStyle w:val="Default"/>
      <w:jc w:val="right"/>
      <w:rPr>
        <w:sz w:val="20"/>
        <w:szCs w:val="20"/>
      </w:rPr>
    </w:pPr>
    <w:r w:rsidRPr="0082166F">
      <w:rPr>
        <w:sz w:val="20"/>
        <w:szCs w:val="20"/>
      </w:rPr>
      <w:t>http://policies.fad.harvard.edu</w:t>
    </w:r>
  </w:p>
  <w:p w14:paraId="260C85DB" w14:textId="77777777" w:rsidR="00DF5ABA" w:rsidRPr="00D63A30" w:rsidRDefault="00DF5ABA" w:rsidP="00B95AEE">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058"/>
    <w:multiLevelType w:val="hybridMultilevel"/>
    <w:tmpl w:val="10E0A344"/>
    <w:lvl w:ilvl="0" w:tplc="D3A4D08E">
      <w:start w:val="1"/>
      <w:numFmt w:val="lowerLetter"/>
      <w:pStyle w:val="Leve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C217CF"/>
    <w:multiLevelType w:val="hybridMultilevel"/>
    <w:tmpl w:val="236C36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4B6AFD"/>
    <w:multiLevelType w:val="hybridMultilevel"/>
    <w:tmpl w:val="593CAF34"/>
    <w:lvl w:ilvl="0" w:tplc="E79E1F2C">
      <w:start w:val="1"/>
      <w:numFmt w:val="decimal"/>
      <w:pStyle w:val="Level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DF7EA8"/>
    <w:multiLevelType w:val="hybridMultilevel"/>
    <w:tmpl w:val="6AF83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97541"/>
    <w:multiLevelType w:val="hybridMultilevel"/>
    <w:tmpl w:val="0F72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B489F"/>
    <w:multiLevelType w:val="hybridMultilevel"/>
    <w:tmpl w:val="64E4DAD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11F22484"/>
    <w:multiLevelType w:val="hybridMultilevel"/>
    <w:tmpl w:val="0D0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510A0"/>
    <w:multiLevelType w:val="hybridMultilevel"/>
    <w:tmpl w:val="13B8C5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A176BC"/>
    <w:multiLevelType w:val="hybridMultilevel"/>
    <w:tmpl w:val="DDBE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7B6A"/>
    <w:multiLevelType w:val="hybridMultilevel"/>
    <w:tmpl w:val="21FC4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A130F"/>
    <w:multiLevelType w:val="hybridMultilevel"/>
    <w:tmpl w:val="9DD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357D8"/>
    <w:multiLevelType w:val="multilevel"/>
    <w:tmpl w:val="93B6276C"/>
    <w:styleLink w:val="PolicyStyle"/>
    <w:lvl w:ilvl="0">
      <w:start w:val="1"/>
      <w:numFmt w:val="upperRoman"/>
      <w:lvlText w:val="%1)"/>
      <w:lvlJc w:val="left"/>
      <w:pPr>
        <w:ind w:left="360" w:hanging="360"/>
      </w:pPr>
      <w:rPr>
        <w:rFonts w:asciiTheme="minorHAnsi" w:hAnsiTheme="minorHAnsi" w:hint="default"/>
        <w:sz w:val="20"/>
      </w:rPr>
    </w:lvl>
    <w:lvl w:ilvl="1">
      <w:start w:val="1"/>
      <w:numFmt w:val="upperLetter"/>
      <w:lvlText w:val="%2)"/>
      <w:lvlJc w:val="left"/>
      <w:pPr>
        <w:ind w:left="432" w:firstLine="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1.)"/>
      <w:lvlJc w:val="left"/>
      <w:pPr>
        <w:ind w:left="1800" w:hanging="360"/>
      </w:pPr>
      <w:rPr>
        <w:rFonts w:hint="default"/>
      </w:rPr>
    </w:lvl>
    <w:lvl w:ilvl="5">
      <w:start w:val="1"/>
      <w:numFmt w:val="none"/>
      <w:lvlText w:val="(a)"/>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E61EA6"/>
    <w:multiLevelType w:val="hybridMultilevel"/>
    <w:tmpl w:val="EEF4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02817"/>
    <w:multiLevelType w:val="hybridMultilevel"/>
    <w:tmpl w:val="5FEC61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453B11"/>
    <w:multiLevelType w:val="hybridMultilevel"/>
    <w:tmpl w:val="84DC7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DD3F66"/>
    <w:multiLevelType w:val="hybridMultilevel"/>
    <w:tmpl w:val="11486E5A"/>
    <w:lvl w:ilvl="0" w:tplc="DE0CF8C6">
      <w:start w:val="1"/>
      <w:numFmt w:val="decimal"/>
      <w:pStyle w:val="Level1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777FF7"/>
    <w:multiLevelType w:val="hybridMultilevel"/>
    <w:tmpl w:val="15245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DB37AB2"/>
    <w:multiLevelType w:val="hybridMultilevel"/>
    <w:tmpl w:val="550C0E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2DCC2495"/>
    <w:multiLevelType w:val="hybridMultilevel"/>
    <w:tmpl w:val="4D4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E1183"/>
    <w:multiLevelType w:val="hybridMultilevel"/>
    <w:tmpl w:val="23AA7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335F44"/>
    <w:multiLevelType w:val="hybridMultilevel"/>
    <w:tmpl w:val="D722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60B58"/>
    <w:multiLevelType w:val="hybridMultilevel"/>
    <w:tmpl w:val="E474F2B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32B2500"/>
    <w:multiLevelType w:val="hybridMultilevel"/>
    <w:tmpl w:val="6D3C24F2"/>
    <w:lvl w:ilvl="0" w:tplc="CD82914C">
      <w:start w:val="1"/>
      <w:numFmt w:val="upperRoman"/>
      <w:pStyle w:val="LevelI"/>
      <w:lvlText w:val="%1."/>
      <w:lvlJc w:val="left"/>
      <w:pPr>
        <w:ind w:left="720" w:hanging="720"/>
      </w:pPr>
      <w:rPr>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171371"/>
    <w:multiLevelType w:val="hybridMultilevel"/>
    <w:tmpl w:val="08608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1D710F"/>
    <w:multiLevelType w:val="hybridMultilevel"/>
    <w:tmpl w:val="5C300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F33A69"/>
    <w:multiLevelType w:val="hybridMultilevel"/>
    <w:tmpl w:val="AC780CC0"/>
    <w:lvl w:ilvl="0" w:tplc="7A1E5FC2">
      <w:start w:val="1"/>
      <w:numFmt w:val="upperLetter"/>
      <w:pStyle w:val="LevelA0"/>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3010A9"/>
    <w:multiLevelType w:val="hybridMultilevel"/>
    <w:tmpl w:val="CFB4D2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5A23B1"/>
    <w:multiLevelType w:val="hybridMultilevel"/>
    <w:tmpl w:val="E636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00BE0"/>
    <w:multiLevelType w:val="hybridMultilevel"/>
    <w:tmpl w:val="72A22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D37AC7"/>
    <w:multiLevelType w:val="hybridMultilevel"/>
    <w:tmpl w:val="F12CC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A503AC"/>
    <w:multiLevelType w:val="hybridMultilevel"/>
    <w:tmpl w:val="38601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FD3EC1"/>
    <w:multiLevelType w:val="hybridMultilevel"/>
    <w:tmpl w:val="425C2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672107"/>
    <w:multiLevelType w:val="hybridMultilevel"/>
    <w:tmpl w:val="49720D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4777105">
    <w:abstractNumId w:val="11"/>
  </w:num>
  <w:num w:numId="2" w16cid:durableId="1220165491">
    <w:abstractNumId w:val="22"/>
  </w:num>
  <w:num w:numId="3" w16cid:durableId="871066562">
    <w:abstractNumId w:val="25"/>
  </w:num>
  <w:num w:numId="4" w16cid:durableId="1968469029">
    <w:abstractNumId w:val="15"/>
  </w:num>
  <w:num w:numId="5" w16cid:durableId="1057439910">
    <w:abstractNumId w:val="0"/>
  </w:num>
  <w:num w:numId="6" w16cid:durableId="1280529577">
    <w:abstractNumId w:val="2"/>
  </w:num>
  <w:num w:numId="7" w16cid:durableId="1892227204">
    <w:abstractNumId w:val="15"/>
    <w:lvlOverride w:ilvl="0">
      <w:startOverride w:val="1"/>
    </w:lvlOverride>
  </w:num>
  <w:num w:numId="8" w16cid:durableId="2076972235">
    <w:abstractNumId w:val="25"/>
    <w:lvlOverride w:ilvl="0">
      <w:startOverride w:val="1"/>
    </w:lvlOverride>
  </w:num>
  <w:num w:numId="9" w16cid:durableId="554050424">
    <w:abstractNumId w:val="15"/>
    <w:lvlOverride w:ilvl="0">
      <w:startOverride w:val="1"/>
    </w:lvlOverride>
  </w:num>
  <w:num w:numId="10" w16cid:durableId="1385447821">
    <w:abstractNumId w:val="15"/>
    <w:lvlOverride w:ilvl="0">
      <w:startOverride w:val="1"/>
    </w:lvlOverride>
  </w:num>
  <w:num w:numId="11" w16cid:durableId="24988690">
    <w:abstractNumId w:val="25"/>
    <w:lvlOverride w:ilvl="0">
      <w:startOverride w:val="1"/>
    </w:lvlOverride>
  </w:num>
  <w:num w:numId="12" w16cid:durableId="1795055505">
    <w:abstractNumId w:val="15"/>
    <w:lvlOverride w:ilvl="0">
      <w:startOverride w:val="1"/>
    </w:lvlOverride>
  </w:num>
  <w:num w:numId="13" w16cid:durableId="1482307041">
    <w:abstractNumId w:val="15"/>
    <w:lvlOverride w:ilvl="0">
      <w:startOverride w:val="1"/>
    </w:lvlOverride>
  </w:num>
  <w:num w:numId="14" w16cid:durableId="1069571043">
    <w:abstractNumId w:val="25"/>
    <w:lvlOverride w:ilvl="0">
      <w:startOverride w:val="1"/>
    </w:lvlOverride>
  </w:num>
  <w:num w:numId="15" w16cid:durableId="929391644">
    <w:abstractNumId w:val="15"/>
    <w:lvlOverride w:ilvl="0">
      <w:startOverride w:val="1"/>
    </w:lvlOverride>
  </w:num>
  <w:num w:numId="16" w16cid:durableId="449130904">
    <w:abstractNumId w:val="25"/>
    <w:lvlOverride w:ilvl="0">
      <w:startOverride w:val="1"/>
    </w:lvlOverride>
  </w:num>
  <w:num w:numId="17" w16cid:durableId="520779065">
    <w:abstractNumId w:val="27"/>
  </w:num>
  <w:num w:numId="18" w16cid:durableId="1102384204">
    <w:abstractNumId w:val="22"/>
    <w:lvlOverride w:ilvl="0">
      <w:startOverride w:val="1"/>
    </w:lvlOverride>
  </w:num>
  <w:num w:numId="19" w16cid:durableId="536821081">
    <w:abstractNumId w:val="25"/>
    <w:lvlOverride w:ilvl="0">
      <w:startOverride w:val="1"/>
    </w:lvlOverride>
  </w:num>
  <w:num w:numId="20" w16cid:durableId="2079666007">
    <w:abstractNumId w:val="25"/>
    <w:lvlOverride w:ilvl="0">
      <w:startOverride w:val="1"/>
    </w:lvlOverride>
  </w:num>
  <w:num w:numId="21" w16cid:durableId="317076401">
    <w:abstractNumId w:val="25"/>
    <w:lvlOverride w:ilvl="0">
      <w:startOverride w:val="1"/>
    </w:lvlOverride>
  </w:num>
  <w:num w:numId="22" w16cid:durableId="745151332">
    <w:abstractNumId w:val="4"/>
  </w:num>
  <w:num w:numId="23" w16cid:durableId="1490367876">
    <w:abstractNumId w:val="22"/>
    <w:lvlOverride w:ilvl="0">
      <w:startOverride w:val="1"/>
    </w:lvlOverride>
  </w:num>
  <w:num w:numId="24" w16cid:durableId="475684842">
    <w:abstractNumId w:val="25"/>
    <w:lvlOverride w:ilvl="0">
      <w:startOverride w:val="1"/>
    </w:lvlOverride>
  </w:num>
  <w:num w:numId="25" w16cid:durableId="1148279185">
    <w:abstractNumId w:val="28"/>
  </w:num>
  <w:num w:numId="26" w16cid:durableId="1956329913">
    <w:abstractNumId w:val="14"/>
  </w:num>
  <w:num w:numId="27" w16cid:durableId="888763965">
    <w:abstractNumId w:val="15"/>
    <w:lvlOverride w:ilvl="0">
      <w:startOverride w:val="1"/>
    </w:lvlOverride>
  </w:num>
  <w:num w:numId="28" w16cid:durableId="1457597222">
    <w:abstractNumId w:val="7"/>
  </w:num>
  <w:num w:numId="29" w16cid:durableId="175273444">
    <w:abstractNumId w:val="15"/>
    <w:lvlOverride w:ilvl="0">
      <w:startOverride w:val="1"/>
    </w:lvlOverride>
  </w:num>
  <w:num w:numId="30" w16cid:durableId="1728870469">
    <w:abstractNumId w:val="0"/>
    <w:lvlOverride w:ilvl="0">
      <w:startOverride w:val="1"/>
    </w:lvlOverride>
  </w:num>
  <w:num w:numId="31" w16cid:durableId="1602952985">
    <w:abstractNumId w:val="26"/>
  </w:num>
  <w:num w:numId="32" w16cid:durableId="216016892">
    <w:abstractNumId w:val="16"/>
  </w:num>
  <w:num w:numId="33" w16cid:durableId="1896233777">
    <w:abstractNumId w:val="1"/>
  </w:num>
  <w:num w:numId="34" w16cid:durableId="1194197772">
    <w:abstractNumId w:val="13"/>
  </w:num>
  <w:num w:numId="35" w16cid:durableId="1469670055">
    <w:abstractNumId w:val="31"/>
  </w:num>
  <w:num w:numId="36" w16cid:durableId="1020473092">
    <w:abstractNumId w:val="15"/>
    <w:lvlOverride w:ilvl="0">
      <w:startOverride w:val="1"/>
    </w:lvlOverride>
  </w:num>
  <w:num w:numId="37" w16cid:durableId="495808750">
    <w:abstractNumId w:val="12"/>
  </w:num>
  <w:num w:numId="38" w16cid:durableId="1014499974">
    <w:abstractNumId w:val="29"/>
  </w:num>
  <w:num w:numId="39" w16cid:durableId="1843427503">
    <w:abstractNumId w:val="23"/>
  </w:num>
  <w:num w:numId="40" w16cid:durableId="1915040487">
    <w:abstractNumId w:val="5"/>
  </w:num>
  <w:num w:numId="41" w16cid:durableId="304433807">
    <w:abstractNumId w:val="25"/>
    <w:lvlOverride w:ilvl="0">
      <w:startOverride w:val="1"/>
    </w:lvlOverride>
  </w:num>
  <w:num w:numId="42" w16cid:durableId="49496786">
    <w:abstractNumId w:val="20"/>
  </w:num>
  <w:num w:numId="43" w16cid:durableId="1815562182">
    <w:abstractNumId w:val="18"/>
  </w:num>
  <w:num w:numId="44" w16cid:durableId="1701008803">
    <w:abstractNumId w:val="10"/>
  </w:num>
  <w:num w:numId="45" w16cid:durableId="1201936182">
    <w:abstractNumId w:val="21"/>
  </w:num>
  <w:num w:numId="46" w16cid:durableId="1080978948">
    <w:abstractNumId w:val="6"/>
  </w:num>
  <w:num w:numId="47" w16cid:durableId="551425065">
    <w:abstractNumId w:val="17"/>
  </w:num>
  <w:num w:numId="48" w16cid:durableId="1693069609">
    <w:abstractNumId w:val="22"/>
    <w:lvlOverride w:ilvl="0">
      <w:startOverride w:val="1"/>
    </w:lvlOverride>
  </w:num>
  <w:num w:numId="49" w16cid:durableId="1781877156">
    <w:abstractNumId w:val="25"/>
    <w:lvlOverride w:ilvl="0">
      <w:startOverride w:val="1"/>
    </w:lvlOverride>
  </w:num>
  <w:num w:numId="50" w16cid:durableId="844397749">
    <w:abstractNumId w:val="15"/>
    <w:lvlOverride w:ilvl="0">
      <w:startOverride w:val="1"/>
    </w:lvlOverride>
  </w:num>
  <w:num w:numId="51" w16cid:durableId="1779328985">
    <w:abstractNumId w:val="0"/>
    <w:lvlOverride w:ilvl="0">
      <w:startOverride w:val="1"/>
    </w:lvlOverride>
  </w:num>
  <w:num w:numId="52" w16cid:durableId="1421950729">
    <w:abstractNumId w:val="15"/>
    <w:lvlOverride w:ilvl="0">
      <w:startOverride w:val="1"/>
    </w:lvlOverride>
  </w:num>
  <w:num w:numId="53" w16cid:durableId="1629125124">
    <w:abstractNumId w:val="19"/>
  </w:num>
  <w:num w:numId="54" w16cid:durableId="21790134">
    <w:abstractNumId w:val="30"/>
  </w:num>
  <w:num w:numId="55" w16cid:durableId="910653976">
    <w:abstractNumId w:val="24"/>
  </w:num>
  <w:num w:numId="56" w16cid:durableId="2127381792">
    <w:abstractNumId w:val="9"/>
  </w:num>
  <w:num w:numId="57" w16cid:durableId="1768505080">
    <w:abstractNumId w:val="32"/>
  </w:num>
  <w:num w:numId="58" w16cid:durableId="1291472320">
    <w:abstractNumId w:val="3"/>
  </w:num>
  <w:num w:numId="59" w16cid:durableId="1129277976">
    <w:abstractNumId w:val="8"/>
  </w:num>
  <w:num w:numId="60" w16cid:durableId="183401241">
    <w:abstractNumId w:val="25"/>
    <w:lvlOverride w:ilvl="0">
      <w:startOverride w:val="1"/>
    </w:lvlOverride>
  </w:num>
  <w:num w:numId="61" w16cid:durableId="1848863624">
    <w:abstractNumId w:val="25"/>
    <w:lvlOverride w:ilvl="0">
      <w:startOverride w:val="1"/>
    </w:lvlOverride>
  </w:num>
  <w:num w:numId="62" w16cid:durableId="665286279">
    <w:abstractNumId w:val="25"/>
  </w:num>
  <w:num w:numId="63" w16cid:durableId="1700353620">
    <w:abstractNumId w:val="25"/>
    <w:lvlOverride w:ilvl="0">
      <w:startOverride w:val="1"/>
    </w:lvlOverride>
  </w:num>
  <w:num w:numId="64" w16cid:durableId="361053324">
    <w:abstractNumId w:val="25"/>
    <w:lvlOverride w:ilvl="0">
      <w:startOverride w:val="1"/>
    </w:lvlOverride>
  </w:num>
  <w:num w:numId="65" w16cid:durableId="1338538335">
    <w:abstractNumId w:val="25"/>
    <w:lvlOverride w:ilvl="0">
      <w:startOverride w:val="1"/>
    </w:lvlOverride>
  </w:num>
  <w:num w:numId="66" w16cid:durableId="1214080163">
    <w:abstractNumId w:val="25"/>
    <w:lvlOverride w:ilvl="0">
      <w:startOverride w:val="1"/>
    </w:lvlOverride>
  </w:num>
  <w:num w:numId="67" w16cid:durableId="493375012">
    <w:abstractNumId w:val="25"/>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5oeKQnATEqnPMkHoT20ziL+fcrVLF3Emg3Twe9q3tNdH5KHf4UoenQVC+PlFlimkg9OIXRBOczZFB9/ANFlog==" w:salt="VkrFU+ZWTBFmJ2WbH7+vh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2C"/>
    <w:rsid w:val="0002165C"/>
    <w:rsid w:val="00022126"/>
    <w:rsid w:val="00037F04"/>
    <w:rsid w:val="0005649E"/>
    <w:rsid w:val="000753D9"/>
    <w:rsid w:val="00082E7C"/>
    <w:rsid w:val="000B7562"/>
    <w:rsid w:val="000D0D8F"/>
    <w:rsid w:val="000D7E3C"/>
    <w:rsid w:val="000E1D87"/>
    <w:rsid w:val="000E4355"/>
    <w:rsid w:val="000F56DF"/>
    <w:rsid w:val="00105261"/>
    <w:rsid w:val="00132158"/>
    <w:rsid w:val="00132A4D"/>
    <w:rsid w:val="00142D4E"/>
    <w:rsid w:val="001575D6"/>
    <w:rsid w:val="00173593"/>
    <w:rsid w:val="001950D0"/>
    <w:rsid w:val="001A05AF"/>
    <w:rsid w:val="001A6144"/>
    <w:rsid w:val="001B6F27"/>
    <w:rsid w:val="001C36D1"/>
    <w:rsid w:val="001F1532"/>
    <w:rsid w:val="001F780F"/>
    <w:rsid w:val="002636FA"/>
    <w:rsid w:val="00281B4C"/>
    <w:rsid w:val="002C135E"/>
    <w:rsid w:val="002C3052"/>
    <w:rsid w:val="002C49E9"/>
    <w:rsid w:val="002D0AD0"/>
    <w:rsid w:val="002F760F"/>
    <w:rsid w:val="00321334"/>
    <w:rsid w:val="00355430"/>
    <w:rsid w:val="003B4189"/>
    <w:rsid w:val="003C6247"/>
    <w:rsid w:val="003E309B"/>
    <w:rsid w:val="00402B50"/>
    <w:rsid w:val="00405437"/>
    <w:rsid w:val="00422A1F"/>
    <w:rsid w:val="00434511"/>
    <w:rsid w:val="004436AC"/>
    <w:rsid w:val="0044434E"/>
    <w:rsid w:val="00454E45"/>
    <w:rsid w:val="00464ACB"/>
    <w:rsid w:val="00466ED9"/>
    <w:rsid w:val="004A1838"/>
    <w:rsid w:val="004B12E6"/>
    <w:rsid w:val="004C2615"/>
    <w:rsid w:val="004E0A60"/>
    <w:rsid w:val="0050537C"/>
    <w:rsid w:val="005123B6"/>
    <w:rsid w:val="00545DBA"/>
    <w:rsid w:val="00554F37"/>
    <w:rsid w:val="00557C62"/>
    <w:rsid w:val="00564D75"/>
    <w:rsid w:val="0058597E"/>
    <w:rsid w:val="00591F00"/>
    <w:rsid w:val="00595499"/>
    <w:rsid w:val="005C4546"/>
    <w:rsid w:val="005E60F8"/>
    <w:rsid w:val="00604048"/>
    <w:rsid w:val="00635707"/>
    <w:rsid w:val="0065050E"/>
    <w:rsid w:val="0067441F"/>
    <w:rsid w:val="0068200C"/>
    <w:rsid w:val="00686C4F"/>
    <w:rsid w:val="006A19E0"/>
    <w:rsid w:val="006B2233"/>
    <w:rsid w:val="006B5017"/>
    <w:rsid w:val="006B583C"/>
    <w:rsid w:val="006C669B"/>
    <w:rsid w:val="006D5A92"/>
    <w:rsid w:val="00710AC7"/>
    <w:rsid w:val="00714D78"/>
    <w:rsid w:val="0075039E"/>
    <w:rsid w:val="00761ECA"/>
    <w:rsid w:val="00785364"/>
    <w:rsid w:val="007B7892"/>
    <w:rsid w:val="007E7BF9"/>
    <w:rsid w:val="007F2586"/>
    <w:rsid w:val="008103A3"/>
    <w:rsid w:val="00845A2A"/>
    <w:rsid w:val="008518BE"/>
    <w:rsid w:val="00860C07"/>
    <w:rsid w:val="00880B99"/>
    <w:rsid w:val="0089455F"/>
    <w:rsid w:val="00895670"/>
    <w:rsid w:val="008A1EA9"/>
    <w:rsid w:val="008B7CFA"/>
    <w:rsid w:val="008D6C36"/>
    <w:rsid w:val="008F6EB3"/>
    <w:rsid w:val="008F7A10"/>
    <w:rsid w:val="008F7A39"/>
    <w:rsid w:val="0091328E"/>
    <w:rsid w:val="0093420D"/>
    <w:rsid w:val="00942EF2"/>
    <w:rsid w:val="00972F11"/>
    <w:rsid w:val="00983AA0"/>
    <w:rsid w:val="009960CF"/>
    <w:rsid w:val="009B7D48"/>
    <w:rsid w:val="009C13ED"/>
    <w:rsid w:val="009E5DA2"/>
    <w:rsid w:val="009E5EF8"/>
    <w:rsid w:val="00A10FAC"/>
    <w:rsid w:val="00A11EDD"/>
    <w:rsid w:val="00A12726"/>
    <w:rsid w:val="00A52C52"/>
    <w:rsid w:val="00A742C7"/>
    <w:rsid w:val="00A9013C"/>
    <w:rsid w:val="00A9141A"/>
    <w:rsid w:val="00AA31A2"/>
    <w:rsid w:val="00AB2257"/>
    <w:rsid w:val="00AF3D4A"/>
    <w:rsid w:val="00B5547E"/>
    <w:rsid w:val="00B60A4B"/>
    <w:rsid w:val="00B85CE9"/>
    <w:rsid w:val="00B95AEE"/>
    <w:rsid w:val="00BA282B"/>
    <w:rsid w:val="00BB5475"/>
    <w:rsid w:val="00BC786E"/>
    <w:rsid w:val="00C1402B"/>
    <w:rsid w:val="00C216EA"/>
    <w:rsid w:val="00C41EBC"/>
    <w:rsid w:val="00C428C6"/>
    <w:rsid w:val="00C70B13"/>
    <w:rsid w:val="00CD5510"/>
    <w:rsid w:val="00D3157A"/>
    <w:rsid w:val="00D3782C"/>
    <w:rsid w:val="00D46D85"/>
    <w:rsid w:val="00D64C95"/>
    <w:rsid w:val="00D81970"/>
    <w:rsid w:val="00D85CA0"/>
    <w:rsid w:val="00D902E7"/>
    <w:rsid w:val="00D972A2"/>
    <w:rsid w:val="00DB71EC"/>
    <w:rsid w:val="00DC1A49"/>
    <w:rsid w:val="00DC3191"/>
    <w:rsid w:val="00DD0A8A"/>
    <w:rsid w:val="00DF5ABA"/>
    <w:rsid w:val="00E12136"/>
    <w:rsid w:val="00E42BE2"/>
    <w:rsid w:val="00E56912"/>
    <w:rsid w:val="00E6323F"/>
    <w:rsid w:val="00E647C6"/>
    <w:rsid w:val="00E814C9"/>
    <w:rsid w:val="00E963C2"/>
    <w:rsid w:val="00E9703F"/>
    <w:rsid w:val="00EA5D43"/>
    <w:rsid w:val="00ED04C6"/>
    <w:rsid w:val="00ED66EF"/>
    <w:rsid w:val="00EE4B55"/>
    <w:rsid w:val="00EE63C4"/>
    <w:rsid w:val="00EF509E"/>
    <w:rsid w:val="00F02514"/>
    <w:rsid w:val="00F31F50"/>
    <w:rsid w:val="00F457A0"/>
    <w:rsid w:val="00F45D76"/>
    <w:rsid w:val="00F929B2"/>
    <w:rsid w:val="00F97343"/>
    <w:rsid w:val="00FA2EB4"/>
    <w:rsid w:val="00FA63F3"/>
    <w:rsid w:val="00FC0A1C"/>
    <w:rsid w:val="00FD3B91"/>
    <w:rsid w:val="00FD6E1C"/>
    <w:rsid w:val="00FF245B"/>
    <w:rsid w:val="00FF2BF0"/>
    <w:rsid w:val="015D8B31"/>
    <w:rsid w:val="04BC70C2"/>
    <w:rsid w:val="05816E9D"/>
    <w:rsid w:val="0629C7F0"/>
    <w:rsid w:val="06590BD4"/>
    <w:rsid w:val="091AD4BD"/>
    <w:rsid w:val="09B11E3A"/>
    <w:rsid w:val="09BCA8D2"/>
    <w:rsid w:val="12BD4267"/>
    <w:rsid w:val="1302EB9A"/>
    <w:rsid w:val="1356102F"/>
    <w:rsid w:val="1410770F"/>
    <w:rsid w:val="1715B8B8"/>
    <w:rsid w:val="172A15AA"/>
    <w:rsid w:val="1830D158"/>
    <w:rsid w:val="1B3E0584"/>
    <w:rsid w:val="1BEB0EB2"/>
    <w:rsid w:val="1BF36906"/>
    <w:rsid w:val="1D26D097"/>
    <w:rsid w:val="1E740AE1"/>
    <w:rsid w:val="2032B3D6"/>
    <w:rsid w:val="22DA15B0"/>
    <w:rsid w:val="2399A8FC"/>
    <w:rsid w:val="23E0D00C"/>
    <w:rsid w:val="261CCB4D"/>
    <w:rsid w:val="2BCCA63C"/>
    <w:rsid w:val="2CACD74A"/>
    <w:rsid w:val="2E59E374"/>
    <w:rsid w:val="2FE49A21"/>
    <w:rsid w:val="3069C16B"/>
    <w:rsid w:val="313AB3F4"/>
    <w:rsid w:val="33D8210A"/>
    <w:rsid w:val="36798B8A"/>
    <w:rsid w:val="3B0C0F2A"/>
    <w:rsid w:val="3D0FAC2E"/>
    <w:rsid w:val="40E95D44"/>
    <w:rsid w:val="41D35F12"/>
    <w:rsid w:val="47AFD61C"/>
    <w:rsid w:val="489449B3"/>
    <w:rsid w:val="4BFF6A4D"/>
    <w:rsid w:val="4CDBD58D"/>
    <w:rsid w:val="4EBBE016"/>
    <w:rsid w:val="4EF386F1"/>
    <w:rsid w:val="502FE424"/>
    <w:rsid w:val="517824D0"/>
    <w:rsid w:val="52643869"/>
    <w:rsid w:val="532DD268"/>
    <w:rsid w:val="53415DA3"/>
    <w:rsid w:val="536D1697"/>
    <w:rsid w:val="54546DEA"/>
    <w:rsid w:val="5627D7B0"/>
    <w:rsid w:val="5934C6AD"/>
    <w:rsid w:val="598F4A4D"/>
    <w:rsid w:val="5B889656"/>
    <w:rsid w:val="5F463E34"/>
    <w:rsid w:val="608AEB4E"/>
    <w:rsid w:val="60DC7BD3"/>
    <w:rsid w:val="6242A020"/>
    <w:rsid w:val="627DD21F"/>
    <w:rsid w:val="67A4BECD"/>
    <w:rsid w:val="684EC395"/>
    <w:rsid w:val="6997706A"/>
    <w:rsid w:val="6F00A106"/>
    <w:rsid w:val="73E47039"/>
    <w:rsid w:val="7670CC61"/>
    <w:rsid w:val="77C4C048"/>
    <w:rsid w:val="79697A73"/>
    <w:rsid w:val="79B38C56"/>
    <w:rsid w:val="7B6CC6E2"/>
    <w:rsid w:val="7BF1B4B3"/>
    <w:rsid w:val="7CD3A8EB"/>
    <w:rsid w:val="7E1319FE"/>
    <w:rsid w:val="7EEBCE4D"/>
    <w:rsid w:val="7FD54E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76D6"/>
  <w15:chartTrackingRefBased/>
  <w15:docId w15:val="{CCF1DB46-E9FE-49B3-A4A7-4B830073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82C"/>
    <w:pPr>
      <w:spacing w:after="120" w:line="247" w:lineRule="auto"/>
    </w:pPr>
    <w:rPr>
      <w:kern w:val="0"/>
      <w:sz w:val="22"/>
      <w:szCs w:val="22"/>
      <w14:ligatures w14:val="none"/>
    </w:rPr>
  </w:style>
  <w:style w:type="paragraph" w:styleId="Heading1">
    <w:name w:val="heading 1"/>
    <w:basedOn w:val="Normal"/>
    <w:next w:val="Normal"/>
    <w:link w:val="Heading1Char"/>
    <w:qFormat/>
    <w:rsid w:val="00D37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D37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D37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D37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D37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D37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D37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D37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1"/>
    <w:rsid w:val="00D37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82C"/>
    <w:rPr>
      <w:rFonts w:eastAsiaTheme="majorEastAsia" w:cstheme="majorBidi"/>
      <w:color w:val="272727" w:themeColor="text1" w:themeTint="D8"/>
    </w:rPr>
  </w:style>
  <w:style w:type="paragraph" w:styleId="Title">
    <w:name w:val="Title"/>
    <w:basedOn w:val="Normal"/>
    <w:next w:val="Normal"/>
    <w:link w:val="TitleChar"/>
    <w:qFormat/>
    <w:rsid w:val="00D37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7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37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37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82C"/>
    <w:pPr>
      <w:spacing w:before="160"/>
      <w:jc w:val="center"/>
    </w:pPr>
    <w:rPr>
      <w:i/>
      <w:iCs/>
      <w:color w:val="404040" w:themeColor="text1" w:themeTint="BF"/>
    </w:rPr>
  </w:style>
  <w:style w:type="character" w:customStyle="1" w:styleId="QuoteChar">
    <w:name w:val="Quote Char"/>
    <w:basedOn w:val="DefaultParagraphFont"/>
    <w:link w:val="Quote"/>
    <w:uiPriority w:val="29"/>
    <w:rsid w:val="00D3782C"/>
    <w:rPr>
      <w:i/>
      <w:iCs/>
      <w:color w:val="404040" w:themeColor="text1" w:themeTint="BF"/>
    </w:rPr>
  </w:style>
  <w:style w:type="paragraph" w:styleId="ListParagraph">
    <w:name w:val="List Paragraph"/>
    <w:basedOn w:val="Normal"/>
    <w:uiPriority w:val="34"/>
    <w:qFormat/>
    <w:rsid w:val="00D3782C"/>
    <w:pPr>
      <w:ind w:left="720"/>
      <w:contextualSpacing/>
    </w:pPr>
  </w:style>
  <w:style w:type="character" w:styleId="IntenseEmphasis">
    <w:name w:val="Intense Emphasis"/>
    <w:basedOn w:val="DefaultParagraphFont"/>
    <w:uiPriority w:val="21"/>
    <w:qFormat/>
    <w:rsid w:val="00D3782C"/>
    <w:rPr>
      <w:i/>
      <w:iCs/>
      <w:color w:val="0F4761" w:themeColor="accent1" w:themeShade="BF"/>
    </w:rPr>
  </w:style>
  <w:style w:type="paragraph" w:styleId="IntenseQuote">
    <w:name w:val="Intense Quote"/>
    <w:aliases w:val="Policy Header"/>
    <w:basedOn w:val="Normal"/>
    <w:next w:val="Normal"/>
    <w:link w:val="IntenseQuoteChar"/>
    <w:uiPriority w:val="30"/>
    <w:qFormat/>
    <w:rsid w:val="00D37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aliases w:val="Policy Header Char"/>
    <w:basedOn w:val="DefaultParagraphFont"/>
    <w:link w:val="IntenseQuote"/>
    <w:uiPriority w:val="30"/>
    <w:rsid w:val="00D3782C"/>
    <w:rPr>
      <w:i/>
      <w:iCs/>
      <w:color w:val="0F4761" w:themeColor="accent1" w:themeShade="BF"/>
    </w:rPr>
  </w:style>
  <w:style w:type="character" w:styleId="IntenseReference">
    <w:name w:val="Intense Reference"/>
    <w:basedOn w:val="DefaultParagraphFont"/>
    <w:uiPriority w:val="32"/>
    <w:qFormat/>
    <w:rsid w:val="00D3782C"/>
    <w:rPr>
      <w:b/>
      <w:bCs/>
      <w:smallCaps/>
      <w:color w:val="0F4761" w:themeColor="accent1" w:themeShade="BF"/>
      <w:spacing w:val="5"/>
    </w:rPr>
  </w:style>
  <w:style w:type="paragraph" w:styleId="Footer">
    <w:name w:val="footer"/>
    <w:basedOn w:val="Normal"/>
    <w:link w:val="FooterChar"/>
    <w:uiPriority w:val="99"/>
    <w:rsid w:val="00D3782C"/>
    <w:pPr>
      <w:tabs>
        <w:tab w:val="center" w:pos="4680"/>
        <w:tab w:val="right" w:pos="9360"/>
      </w:tabs>
    </w:pPr>
  </w:style>
  <w:style w:type="character" w:customStyle="1" w:styleId="FooterChar">
    <w:name w:val="Footer Char"/>
    <w:basedOn w:val="DefaultParagraphFont"/>
    <w:link w:val="Footer"/>
    <w:uiPriority w:val="99"/>
    <w:rsid w:val="00D3782C"/>
    <w:rPr>
      <w:kern w:val="0"/>
      <w:sz w:val="22"/>
      <w:szCs w:val="22"/>
      <w14:ligatures w14:val="none"/>
    </w:rPr>
  </w:style>
  <w:style w:type="character" w:styleId="Hyperlink">
    <w:name w:val="Hyperlink"/>
    <w:basedOn w:val="DefaultParagraphFont"/>
    <w:rsid w:val="00D3782C"/>
    <w:rPr>
      <w:color w:val="467886" w:themeColor="hyperlink"/>
      <w:u w:val="single"/>
    </w:rPr>
  </w:style>
  <w:style w:type="character" w:styleId="CommentReference">
    <w:name w:val="annotation reference"/>
    <w:basedOn w:val="DefaultParagraphFont"/>
    <w:semiHidden/>
    <w:unhideWhenUsed/>
    <w:rsid w:val="00D3782C"/>
    <w:rPr>
      <w:sz w:val="16"/>
      <w:szCs w:val="16"/>
    </w:rPr>
  </w:style>
  <w:style w:type="paragraph" w:styleId="CommentText">
    <w:name w:val="annotation text"/>
    <w:basedOn w:val="Normal"/>
    <w:link w:val="CommentTextChar"/>
    <w:unhideWhenUsed/>
    <w:rsid w:val="00D3782C"/>
    <w:pPr>
      <w:spacing w:line="240" w:lineRule="auto"/>
    </w:pPr>
    <w:rPr>
      <w:sz w:val="20"/>
      <w:szCs w:val="20"/>
    </w:rPr>
  </w:style>
  <w:style w:type="character" w:customStyle="1" w:styleId="CommentTextChar">
    <w:name w:val="Comment Text Char"/>
    <w:basedOn w:val="DefaultParagraphFont"/>
    <w:link w:val="CommentText"/>
    <w:rsid w:val="00D3782C"/>
    <w:rPr>
      <w:kern w:val="0"/>
      <w:sz w:val="20"/>
      <w:szCs w:val="20"/>
      <w14:ligatures w14:val="none"/>
    </w:rPr>
  </w:style>
  <w:style w:type="paragraph" w:styleId="CommentSubject">
    <w:name w:val="annotation subject"/>
    <w:basedOn w:val="CommentText"/>
    <w:next w:val="CommentText"/>
    <w:link w:val="CommentSubjectChar"/>
    <w:semiHidden/>
    <w:unhideWhenUsed/>
    <w:rsid w:val="00D3782C"/>
    <w:rPr>
      <w:b/>
      <w:bCs/>
    </w:rPr>
  </w:style>
  <w:style w:type="character" w:customStyle="1" w:styleId="CommentSubjectChar">
    <w:name w:val="Comment Subject Char"/>
    <w:basedOn w:val="CommentTextChar"/>
    <w:link w:val="CommentSubject"/>
    <w:semiHidden/>
    <w:rsid w:val="00D3782C"/>
    <w:rPr>
      <w:b/>
      <w:bCs/>
      <w:kern w:val="0"/>
      <w:sz w:val="20"/>
      <w:szCs w:val="20"/>
      <w14:ligatures w14:val="none"/>
    </w:rPr>
  </w:style>
  <w:style w:type="numbering" w:customStyle="1" w:styleId="PolicyStyle">
    <w:name w:val="Policy Style"/>
    <w:uiPriority w:val="99"/>
    <w:rsid w:val="00D3782C"/>
    <w:pPr>
      <w:numPr>
        <w:numId w:val="1"/>
      </w:numPr>
    </w:pPr>
  </w:style>
  <w:style w:type="table" w:styleId="TableGrid">
    <w:name w:val="Table Grid"/>
    <w:basedOn w:val="TableNormal"/>
    <w:rsid w:val="00D378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782C"/>
    <w:rPr>
      <w:color w:val="605E5C"/>
      <w:shd w:val="clear" w:color="auto" w:fill="E1DFDD"/>
    </w:rPr>
  </w:style>
  <w:style w:type="paragraph" w:customStyle="1" w:styleId="UPHeading1">
    <w:name w:val="UP Heading 1"/>
    <w:basedOn w:val="Normal"/>
    <w:link w:val="UPHeading1Char"/>
    <w:qFormat/>
    <w:rsid w:val="00D3782C"/>
    <w:pPr>
      <w:pBdr>
        <w:top w:val="single" w:sz="12" w:space="1" w:color="C00000"/>
      </w:pBdr>
      <w:spacing w:before="120" w:line="240" w:lineRule="auto"/>
      <w:outlineLvl w:val="1"/>
    </w:pPr>
    <w:rPr>
      <w:rFonts w:ascii="Arial" w:hAnsi="Arial" w:cs="Arial"/>
      <w:b/>
    </w:rPr>
  </w:style>
  <w:style w:type="character" w:customStyle="1" w:styleId="UPHeading1Char">
    <w:name w:val="UP Heading 1 Char"/>
    <w:basedOn w:val="DefaultParagraphFont"/>
    <w:link w:val="UPHeading1"/>
    <w:rsid w:val="00D3782C"/>
    <w:rPr>
      <w:rFonts w:ascii="Arial" w:hAnsi="Arial" w:cs="Arial"/>
      <w:b/>
      <w:kern w:val="0"/>
      <w:sz w:val="22"/>
      <w:szCs w:val="22"/>
      <w14:ligatures w14:val="none"/>
    </w:rPr>
  </w:style>
  <w:style w:type="paragraph" w:customStyle="1" w:styleId="LevelI">
    <w:name w:val="Level I"/>
    <w:basedOn w:val="ListParagraph"/>
    <w:autoRedefine/>
    <w:qFormat/>
    <w:rsid w:val="00D3782C"/>
    <w:pPr>
      <w:numPr>
        <w:numId w:val="2"/>
      </w:numPr>
      <w:ind w:left="540" w:hanging="540"/>
    </w:pPr>
    <w:rPr>
      <w:b/>
    </w:rPr>
  </w:style>
  <w:style w:type="paragraph" w:customStyle="1" w:styleId="LevelA0">
    <w:name w:val="Level A"/>
    <w:basedOn w:val="ListParagraph"/>
    <w:autoRedefine/>
    <w:qFormat/>
    <w:rsid w:val="00E12136"/>
    <w:pPr>
      <w:numPr>
        <w:numId w:val="3"/>
      </w:numPr>
    </w:pPr>
    <w:rPr>
      <w:rFonts w:cstheme="minorHAnsi"/>
      <w:bCs/>
      <w:color w:val="000000"/>
      <w:lang w:val=""/>
    </w:rPr>
  </w:style>
  <w:style w:type="paragraph" w:customStyle="1" w:styleId="Level10">
    <w:name w:val="Level 1"/>
    <w:basedOn w:val="ListParagraph"/>
    <w:autoRedefine/>
    <w:qFormat/>
    <w:rsid w:val="00D3782C"/>
    <w:pPr>
      <w:numPr>
        <w:numId w:val="4"/>
      </w:numPr>
    </w:pPr>
  </w:style>
  <w:style w:type="paragraph" w:customStyle="1" w:styleId="Levela">
    <w:name w:val="Level a."/>
    <w:basedOn w:val="ListParagraph"/>
    <w:autoRedefine/>
    <w:qFormat/>
    <w:rsid w:val="00D3782C"/>
    <w:pPr>
      <w:numPr>
        <w:numId w:val="5"/>
      </w:numPr>
    </w:pPr>
  </w:style>
  <w:style w:type="paragraph" w:customStyle="1" w:styleId="Level1">
    <w:name w:val="Level (1.)"/>
    <w:basedOn w:val="ListParagraph"/>
    <w:autoRedefine/>
    <w:qFormat/>
    <w:rsid w:val="00D3782C"/>
    <w:pPr>
      <w:numPr>
        <w:numId w:val="6"/>
      </w:numPr>
    </w:pPr>
  </w:style>
  <w:style w:type="paragraph" w:styleId="BodyText">
    <w:name w:val="Body Text"/>
    <w:basedOn w:val="Normal"/>
    <w:link w:val="BodyTextChar"/>
    <w:uiPriority w:val="1"/>
    <w:qFormat/>
    <w:rsid w:val="00D3782C"/>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D3782C"/>
    <w:rPr>
      <w:rFonts w:ascii="Calibri" w:eastAsia="Calibri" w:hAnsi="Calibri" w:cs="Calibri"/>
      <w:kern w:val="0"/>
      <w:sz w:val="20"/>
      <w:szCs w:val="20"/>
      <w14:ligatures w14:val="none"/>
    </w:rPr>
  </w:style>
  <w:style w:type="paragraph" w:styleId="NoSpacing">
    <w:name w:val="No Spacing"/>
    <w:link w:val="NoSpacingChar"/>
    <w:uiPriority w:val="1"/>
    <w:qFormat/>
    <w:rsid w:val="00D3782C"/>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D3782C"/>
    <w:rPr>
      <w:kern w:val="0"/>
      <w:sz w:val="22"/>
      <w:szCs w:val="22"/>
      <w14:ligatures w14:val="none"/>
    </w:rPr>
  </w:style>
  <w:style w:type="paragraph" w:styleId="Header">
    <w:name w:val="header"/>
    <w:basedOn w:val="Normal"/>
    <w:link w:val="HeaderChar"/>
    <w:uiPriority w:val="99"/>
    <w:unhideWhenUsed/>
    <w:rsid w:val="00D3782C"/>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D3782C"/>
    <w:rPr>
      <w:rFonts w:ascii="Calibri" w:eastAsia="Calibri" w:hAnsi="Calibri" w:cs="Calibri"/>
      <w:kern w:val="0"/>
      <w:sz w:val="22"/>
      <w:szCs w:val="22"/>
      <w14:ligatures w14:val="none"/>
    </w:rPr>
  </w:style>
  <w:style w:type="paragraph" w:customStyle="1" w:styleId="Default">
    <w:name w:val="Default"/>
    <w:link w:val="DefaultChar"/>
    <w:rsid w:val="00D3782C"/>
    <w:pPr>
      <w:autoSpaceDE w:val="0"/>
      <w:autoSpaceDN w:val="0"/>
      <w:adjustRightInd w:val="0"/>
      <w:spacing w:after="0" w:line="240" w:lineRule="auto"/>
    </w:pPr>
    <w:rPr>
      <w:rFonts w:ascii="Arial" w:hAnsi="Arial" w:cs="Arial"/>
      <w:color w:val="000000"/>
      <w:kern w:val="0"/>
      <w14:ligatures w14:val="none"/>
    </w:rPr>
  </w:style>
  <w:style w:type="character" w:customStyle="1" w:styleId="DefaultChar">
    <w:name w:val="Default Char"/>
    <w:basedOn w:val="DefaultParagraphFont"/>
    <w:link w:val="Default"/>
    <w:rsid w:val="00D3782C"/>
    <w:rPr>
      <w:rFonts w:ascii="Arial" w:hAnsi="Arial" w:cs="Arial"/>
      <w:color w:val="000000"/>
      <w:kern w:val="0"/>
      <w14:ligatures w14:val="none"/>
    </w:rPr>
  </w:style>
  <w:style w:type="paragraph" w:customStyle="1" w:styleId="PolicyHeader2">
    <w:name w:val="Policy Header 2"/>
    <w:basedOn w:val="Default"/>
    <w:link w:val="PolicyHeader2Char"/>
    <w:qFormat/>
    <w:rsid w:val="00D3782C"/>
    <w:pPr>
      <w:widowControl w:val="0"/>
      <w:pBdr>
        <w:top w:val="single" w:sz="12" w:space="1" w:color="C00000"/>
      </w:pBdr>
    </w:pPr>
    <w:rPr>
      <w:rFonts w:eastAsiaTheme="minorEastAsia"/>
      <w:b/>
      <w:sz w:val="22"/>
      <w:szCs w:val="22"/>
    </w:rPr>
  </w:style>
  <w:style w:type="character" w:customStyle="1" w:styleId="PolicyHeader2Char">
    <w:name w:val="Policy Header 2 Char"/>
    <w:basedOn w:val="DefaultParagraphFont"/>
    <w:link w:val="PolicyHeader2"/>
    <w:rsid w:val="00D3782C"/>
    <w:rPr>
      <w:rFonts w:ascii="Arial" w:eastAsiaTheme="minorEastAsia" w:hAnsi="Arial" w:cs="Arial"/>
      <w:b/>
      <w:color w:val="000000"/>
      <w:kern w:val="0"/>
      <w:sz w:val="22"/>
      <w:szCs w:val="22"/>
      <w14:ligatures w14:val="none"/>
    </w:rPr>
  </w:style>
  <w:style w:type="paragraph" w:customStyle="1" w:styleId="PolicyMultilevelList">
    <w:name w:val="Policy Multilevel List"/>
    <w:basedOn w:val="NoSpacing"/>
    <w:link w:val="PolicyMultilevelListChar"/>
    <w:qFormat/>
    <w:rsid w:val="00D3782C"/>
    <w:rPr>
      <w:rFonts w:ascii="Arial" w:hAnsi="Arial"/>
      <w:b/>
    </w:rPr>
  </w:style>
  <w:style w:type="character" w:customStyle="1" w:styleId="PolicyMultilevelListChar">
    <w:name w:val="Policy Multilevel List Char"/>
    <w:basedOn w:val="NoSpacingChar"/>
    <w:link w:val="PolicyMultilevelList"/>
    <w:rsid w:val="00D3782C"/>
    <w:rPr>
      <w:rFonts w:ascii="Arial" w:hAnsi="Arial"/>
      <w:b/>
      <w:kern w:val="0"/>
      <w:sz w:val="22"/>
      <w:szCs w:val="22"/>
      <w14:ligatures w14:val="none"/>
    </w:rPr>
  </w:style>
  <w:style w:type="paragraph" w:customStyle="1" w:styleId="TableParagraph">
    <w:name w:val="Table Paragraph"/>
    <w:basedOn w:val="Normal"/>
    <w:uiPriority w:val="1"/>
    <w:qFormat/>
    <w:rsid w:val="00D3782C"/>
    <w:pPr>
      <w:widowControl w:val="0"/>
      <w:autoSpaceDE w:val="0"/>
      <w:autoSpaceDN w:val="0"/>
      <w:spacing w:after="0" w:line="240" w:lineRule="auto"/>
    </w:pPr>
    <w:rPr>
      <w:rFonts w:ascii="Calibri" w:eastAsia="Calibri" w:hAnsi="Calibri" w:cs="Calibri"/>
    </w:rPr>
  </w:style>
  <w:style w:type="paragraph" w:customStyle="1" w:styleId="P00Base">
    <w:name w:val="P00_Base"/>
    <w:rsid w:val="00D3782C"/>
    <w:pPr>
      <w:spacing w:after="0" w:line="240" w:lineRule="auto"/>
    </w:pPr>
    <w:rPr>
      <w:rFonts w:ascii="Arial" w:eastAsia="Times New Roman" w:hAnsi="Arial" w:cs="Times New Roman"/>
      <w:kern w:val="0"/>
      <w:sz w:val="20"/>
      <w:szCs w:val="20"/>
      <w14:ligatures w14:val="none"/>
    </w:rPr>
  </w:style>
  <w:style w:type="character" w:styleId="FollowedHyperlink">
    <w:name w:val="FollowedHyperlink"/>
    <w:basedOn w:val="DefaultParagraphFont"/>
    <w:semiHidden/>
    <w:unhideWhenUsed/>
    <w:rsid w:val="00D3782C"/>
    <w:rPr>
      <w:color w:val="96607D" w:themeColor="followedHyperlink"/>
      <w:u w:val="single"/>
    </w:rPr>
  </w:style>
  <w:style w:type="paragraph" w:styleId="Revision">
    <w:name w:val="Revision"/>
    <w:hidden/>
    <w:uiPriority w:val="99"/>
    <w:semiHidden/>
    <w:rsid w:val="00D3782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retrieveECFR?gp=&amp;SID=a2d2f74eb4490eb05b8da808153bf412&amp;mc=true&amp;n=pt2.1.200&amp;r=PART&amp;ty=HTML" TargetMode="External"/><Relationship Id="rId18" Type="http://schemas.openxmlformats.org/officeDocument/2006/relationships/hyperlink" Target="https://policies.fad.harvard.edu/pages/facilities-and-equipment" TargetMode="External"/><Relationship Id="rId26" Type="http://schemas.openxmlformats.org/officeDocument/2006/relationships/hyperlink" Target="https://trainingportal.harvard.edu/Saba/Web_spf/NA1PRD0068/app/workspace/detail/pgcnt000000000116897?selectedFirstContainerId=pgcnt000000000116899&amp;selectedPageId=spage000000000006267"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fr.gov/cgi-bin/retrieveECFR?gp=&amp;SID=a2d2f74eb4490eb05b8da808153bf412&amp;mc=true&amp;n=sp2.1.200.d&amp;r=SUBPART&amp;ty=HTML" TargetMode="External"/><Relationship Id="rId17" Type="http://schemas.openxmlformats.org/officeDocument/2006/relationships/hyperlink" Target="https://energy.gov/cfo/downloads/financial-management-handbook" TargetMode="External"/><Relationship Id="rId25" Type="http://schemas.openxmlformats.org/officeDocument/2006/relationships/hyperlink" Target="https://policies.fad.harvard.edu/pages/facilities-and-equipmen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gi-bin/text-idx?SID=03817eaa07cdd125237861ce7183151c&amp;mc=true&amp;tpl=/ecfrbrowse/Title48/48cfrv3_02.tpl" TargetMode="External"/><Relationship Id="rId20" Type="http://schemas.openxmlformats.org/officeDocument/2006/relationships/hyperlink" Target="https://policies.fad.harvard.edu/procurement" TargetMode="External"/><Relationship Id="rId29" Type="http://schemas.openxmlformats.org/officeDocument/2006/relationships/hyperlink" Target="https://policies.fad.harvard.edu/pages/tax-compliance-external-revenue-generating-activ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retrieveECFR?gp=&amp;SID=a2d2f74eb4490eb05b8da808153bf412&amp;mc=true&amp;n=sp2.1.200.d&amp;r=SUBPART&amp;ty=HTML" TargetMode="External"/><Relationship Id="rId24" Type="http://schemas.openxmlformats.org/officeDocument/2006/relationships/footer" Target="footer2.xml"/><Relationship Id="rId32" Type="http://schemas.openxmlformats.org/officeDocument/2006/relationships/hyperlink" Target="https://policies.fad.harvard.edu/procurement" TargetMode="External"/><Relationship Id="rId5" Type="http://schemas.openxmlformats.org/officeDocument/2006/relationships/numbering" Target="numbering.xml"/><Relationship Id="rId15" Type="http://schemas.openxmlformats.org/officeDocument/2006/relationships/hyperlink" Target="https://www.ecfr.gov/cgi-bin/text-idx?SID=c20479c8340d228158df8628cc8c9435&amp;mc=true&amp;node=pt48.2.52&amp;rgn=div5" TargetMode="External"/><Relationship Id="rId23" Type="http://schemas.openxmlformats.org/officeDocument/2006/relationships/footer" Target="footer1.xml"/><Relationship Id="rId28" Type="http://schemas.openxmlformats.org/officeDocument/2006/relationships/hyperlink" Target="https://vpr.harvard.edu/export-control-council-membersschool-export-control-officers" TargetMode="External"/><Relationship Id="rId10" Type="http://schemas.openxmlformats.org/officeDocument/2006/relationships/endnotes" Target="endnotes.xml"/><Relationship Id="rId19" Type="http://schemas.openxmlformats.org/officeDocument/2006/relationships/hyperlink" Target="https://www.ecfr.gov/current/title-2/subtitle-A/chapter-II/part-200" TargetMode="External"/><Relationship Id="rId31" Type="http://schemas.openxmlformats.org/officeDocument/2006/relationships/hyperlink" Target="https://policies.fad.harvard.edu/pages/facilities-and-equi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SID=c20479c8340d228158df8628cc8c9435&amp;mc=true&amp;node=pt48.1.45&amp;rgn=div5" TargetMode="External"/><Relationship Id="rId22" Type="http://schemas.openxmlformats.org/officeDocument/2006/relationships/header" Target="header2.xml"/><Relationship Id="rId27" Type="http://schemas.openxmlformats.org/officeDocument/2006/relationships/hyperlink" Target="https://oc.finance.harvard.edu/resources/forms-and-templates" TargetMode="External"/><Relationship Id="rId30" Type="http://schemas.openxmlformats.org/officeDocument/2006/relationships/hyperlink" Target="https://osp.finance.harvard.edu/capital-equipment-policy"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4F1C1D1B19F74C917C8617E2F071DA" ma:contentTypeVersion="10" ma:contentTypeDescription="Create a new document." ma:contentTypeScope="" ma:versionID="1012c805fdba53c7724a2be9599482b4">
  <xsd:schema xmlns:xsd="http://www.w3.org/2001/XMLSchema" xmlns:xs="http://www.w3.org/2001/XMLSchema" xmlns:p="http://schemas.microsoft.com/office/2006/metadata/properties" xmlns:ns2="303b9bec-6670-4f9c-88b5-934c2fa8abae" xmlns:ns3="fa4a6c43-a158-4316-a2c8-c156cd11b2b5" targetNamespace="http://schemas.microsoft.com/office/2006/metadata/properties" ma:root="true" ma:fieldsID="b407e15b1c574c67b4e8772abbb993d1" ns2:_="" ns3:_="">
    <xsd:import namespace="303b9bec-6670-4f9c-88b5-934c2fa8abae"/>
    <xsd:import namespace="fa4a6c43-a158-4316-a2c8-c156cd11b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9bec-6670-4f9c-88b5-934c2fa8a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a6c43-a158-4316-a2c8-c156cd11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39274-B76B-4618-9BC8-F4145E180B13}">
  <ds:schemaRefs>
    <ds:schemaRef ds:uri="http://schemas.openxmlformats.org/officeDocument/2006/bibliography"/>
  </ds:schemaRefs>
</ds:datastoreItem>
</file>

<file path=customXml/itemProps2.xml><?xml version="1.0" encoding="utf-8"?>
<ds:datastoreItem xmlns:ds="http://schemas.openxmlformats.org/officeDocument/2006/customXml" ds:itemID="{5DCA4500-320B-48E9-99A4-AA5E8DA8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b9bec-6670-4f9c-88b5-934c2fa8abae"/>
    <ds:schemaRef ds:uri="fa4a6c43-a158-4316-a2c8-c156cd11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8AE03-86B2-4CA4-BD3A-E8BC00445D9D}">
  <ds:schemaRefs>
    <ds:schemaRef ds:uri="http://schemas.microsoft.com/sharepoint/v3/contenttype/forms"/>
  </ds:schemaRefs>
</ds:datastoreItem>
</file>

<file path=customXml/itemProps4.xml><?xml version="1.0" encoding="utf-8"?>
<ds:datastoreItem xmlns:ds="http://schemas.openxmlformats.org/officeDocument/2006/customXml" ds:itemID="{22D0865C-9AE7-4AB2-AC15-40CE29613383}">
  <ds:schemaRefs>
    <ds:schemaRef ds:uri="http://www.w3.org/XML/1998/namespace"/>
    <ds:schemaRef ds:uri="303b9bec-6670-4f9c-88b5-934c2fa8abae"/>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fa4a6c43-a158-4316-a2c8-c156cd11b2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2178</Words>
  <Characters>12418</Characters>
  <Application>Microsoft Office Word</Application>
  <DocSecurity>12</DocSecurity>
  <Lines>103</Lines>
  <Paragraphs>29</Paragraphs>
  <ScaleCrop>false</ScaleCrop>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McKetchnie, Gregory</dc:creator>
  <cp:keywords/>
  <dc:description/>
  <cp:lastModifiedBy>Kittredge, Karen J.</cp:lastModifiedBy>
  <cp:revision>6</cp:revision>
  <dcterms:created xsi:type="dcterms:W3CDTF">2025-08-06T18:49:00Z</dcterms:created>
  <dcterms:modified xsi:type="dcterms:W3CDTF">2025-08-07T13:48:00Z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0x010100124F1C1D1B19F74C917C8617E2F071DA</vt:lpwstr>
  </property>
  <property fmtid="{D5CDD505-2E9C-101B-9397-08002B2CF9AE}" pid="3" name="MediaServiceImageTags">
    <vt:lpwstr/>
  </property>
</Properties>
</file>