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23" w:rsidRPr="00100D23" w:rsidRDefault="00100D23" w:rsidP="00100D23">
      <w:pPr>
        <w:pStyle w:val="NoSpacing"/>
        <w:spacing w:line="276" w:lineRule="auto"/>
        <w:jc w:val="center"/>
        <w:rPr>
          <w:rFonts w:ascii="Arial" w:hAnsi="Arial" w:cs="Arial"/>
          <w:b/>
        </w:rPr>
      </w:pPr>
      <w:r w:rsidRPr="00100D23">
        <w:rPr>
          <w:rFonts w:ascii="Arial" w:hAnsi="Arial" w:cs="Arial"/>
          <w:b/>
        </w:rPr>
        <w:t>Internal Billing Transactions, Appendix A</w:t>
      </w:r>
    </w:p>
    <w:p w:rsidR="00100D23" w:rsidRDefault="00100D23" w:rsidP="00100D23">
      <w:pPr>
        <w:pStyle w:val="NoSpacing"/>
        <w:spacing w:line="276" w:lineRule="auto"/>
        <w:jc w:val="center"/>
        <w:rPr>
          <w:rFonts w:ascii="Arial" w:hAnsi="Arial" w:cs="Arial"/>
          <w:b/>
        </w:rPr>
      </w:pPr>
      <w:r w:rsidRPr="00100D23">
        <w:rPr>
          <w:rFonts w:ascii="Arial" w:hAnsi="Arial" w:cs="Arial"/>
          <w:b/>
        </w:rPr>
        <w:t>Examples of Proper Internal Billing Coding</w:t>
      </w:r>
    </w:p>
    <w:p w:rsidR="00100D23" w:rsidRPr="00100D23" w:rsidRDefault="00100D23" w:rsidP="00100D23">
      <w:pPr>
        <w:pStyle w:val="NoSpacing"/>
        <w:jc w:val="center"/>
        <w:rPr>
          <w:rFonts w:ascii="Arial" w:hAnsi="Arial" w:cs="Arial"/>
          <w:b/>
        </w:rPr>
      </w:pPr>
    </w:p>
    <w:tbl>
      <w:tblPr>
        <w:tblW w:w="10368" w:type="dxa"/>
        <w:tblBorders>
          <w:top w:val="single" w:sz="12" w:space="0" w:color="C00000"/>
          <w:left w:val="single" w:sz="12" w:space="0" w:color="C00000"/>
          <w:bottom w:val="single" w:sz="12" w:space="0" w:color="C00000"/>
          <w:right w:val="single" w:sz="12" w:space="0" w:color="C00000"/>
        </w:tblBorders>
        <w:tblLayout w:type="fixed"/>
        <w:tblLook w:val="0000" w:firstRow="0" w:lastRow="0" w:firstColumn="0" w:lastColumn="0" w:noHBand="0" w:noVBand="0"/>
      </w:tblPr>
      <w:tblGrid>
        <w:gridCol w:w="10368"/>
      </w:tblGrid>
      <w:tr w:rsidR="00100D23" w:rsidRPr="00100D23" w:rsidTr="00763342">
        <w:tc>
          <w:tcPr>
            <w:tcW w:w="10368" w:type="dxa"/>
            <w:tcBorders>
              <w:top w:val="single" w:sz="4" w:space="0" w:color="auto"/>
              <w:left w:val="single" w:sz="4" w:space="0" w:color="auto"/>
              <w:bottom w:val="single" w:sz="4" w:space="0" w:color="auto"/>
              <w:right w:val="single" w:sz="4" w:space="0" w:color="auto"/>
            </w:tcBorders>
          </w:tcPr>
          <w:p w:rsidR="00100D23" w:rsidRPr="00763342" w:rsidRDefault="00100D23" w:rsidP="00100D23">
            <w:pPr>
              <w:pStyle w:val="NoSpacing"/>
              <w:rPr>
                <w:rFonts w:cs="Times New Roman"/>
                <w:sz w:val="20"/>
                <w:szCs w:val="20"/>
              </w:rPr>
            </w:pPr>
            <w:bookmarkStart w:id="0" w:name="_GoBack"/>
          </w:p>
          <w:p w:rsidR="00100D23" w:rsidRPr="00763342" w:rsidRDefault="00100D23" w:rsidP="00100D23">
            <w:pPr>
              <w:pStyle w:val="NoSpacing"/>
              <w:rPr>
                <w:rFonts w:cs="Times New Roman"/>
                <w:sz w:val="20"/>
                <w:szCs w:val="20"/>
              </w:rPr>
            </w:pPr>
            <w:r w:rsidRPr="00763342">
              <w:rPr>
                <w:rFonts w:cs="Times New Roman"/>
                <w:b/>
                <w:sz w:val="20"/>
                <w:szCs w:val="20"/>
              </w:rPr>
              <w:t>1.</w:t>
            </w:r>
            <w:r w:rsidRPr="00763342">
              <w:rPr>
                <w:rFonts w:cs="Times New Roman"/>
                <w:sz w:val="20"/>
                <w:szCs w:val="20"/>
              </w:rPr>
              <w:t xml:space="preserve"> The Faculty Club charges the FAS Chemistry Department for a function held at the Club.  The Chemistry Department serves food and both nonalcoholic and alcoholic beverages during the function.  </w:t>
            </w:r>
          </w:p>
          <w:p w:rsidR="00100D23" w:rsidRPr="00763342" w:rsidRDefault="00100D23" w:rsidP="00100D23">
            <w:pPr>
              <w:pStyle w:val="NoSpacing"/>
              <w:rPr>
                <w:rFonts w:cs="Times New Roman"/>
                <w:i/>
                <w:iCs/>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00"/>
            </w:tblGrid>
            <w:tr w:rsidR="00100D23" w:rsidRPr="00763342" w:rsidTr="00C36838">
              <w:tc>
                <w:tcPr>
                  <w:tcW w:w="4495" w:type="dxa"/>
                </w:tcPr>
                <w:p w:rsidR="00100D23" w:rsidRPr="00763342" w:rsidRDefault="00100D23" w:rsidP="00100D23">
                  <w:pPr>
                    <w:pStyle w:val="NoSpacing"/>
                    <w:rPr>
                      <w:rFonts w:cs="Times New Roman"/>
                      <w:sz w:val="20"/>
                      <w:szCs w:val="20"/>
                    </w:rPr>
                  </w:pPr>
                  <w:r w:rsidRPr="00763342">
                    <w:rPr>
                      <w:rFonts w:cs="Times New Roman"/>
                      <w:sz w:val="20"/>
                      <w:szCs w:val="20"/>
                    </w:rPr>
                    <w:t>FAS Chemistry Department</w:t>
                  </w:r>
                </w:p>
              </w:tc>
              <w:tc>
                <w:tcPr>
                  <w:tcW w:w="4500" w:type="dxa"/>
                </w:tcPr>
                <w:p w:rsidR="00100D23" w:rsidRPr="00763342" w:rsidRDefault="00100D23" w:rsidP="00100D23">
                  <w:pPr>
                    <w:pStyle w:val="NoSpacing"/>
                    <w:rPr>
                      <w:rFonts w:cs="Times New Roman"/>
                      <w:sz w:val="20"/>
                      <w:szCs w:val="20"/>
                    </w:rPr>
                  </w:pPr>
                  <w:r w:rsidRPr="00763342">
                    <w:rPr>
                      <w:rFonts w:cs="Times New Roman"/>
                      <w:sz w:val="20"/>
                      <w:szCs w:val="20"/>
                    </w:rPr>
                    <w:t>Faculty Club</w:t>
                  </w:r>
                </w:p>
              </w:tc>
            </w:tr>
            <w:tr w:rsidR="00100D23" w:rsidRPr="00763342" w:rsidTr="00C36838">
              <w:trPr>
                <w:trHeight w:val="422"/>
              </w:trPr>
              <w:tc>
                <w:tcPr>
                  <w:tcW w:w="4495" w:type="dxa"/>
                </w:tcPr>
                <w:p w:rsidR="00100D23" w:rsidRPr="00763342" w:rsidRDefault="00100D23" w:rsidP="00100D23">
                  <w:pPr>
                    <w:pStyle w:val="NoSpacing"/>
                    <w:rPr>
                      <w:rFonts w:cstheme="minorHAnsi"/>
                      <w:sz w:val="20"/>
                      <w:szCs w:val="20"/>
                    </w:rPr>
                  </w:pPr>
                  <w:r w:rsidRPr="00763342">
                    <w:rPr>
                      <w:rFonts w:cstheme="minorHAnsi"/>
                      <w:sz w:val="20"/>
                      <w:szCs w:val="20"/>
                    </w:rPr>
                    <w:t>Debit/charge object code 6570:</w:t>
                  </w:r>
                </w:p>
                <w:p w:rsidR="00100D23" w:rsidRPr="00763342" w:rsidRDefault="00100D23" w:rsidP="00100D23">
                  <w:pPr>
                    <w:pStyle w:val="NoSpacing"/>
                    <w:rPr>
                      <w:rFonts w:cstheme="minorHAnsi"/>
                      <w:sz w:val="20"/>
                      <w:szCs w:val="20"/>
                    </w:rPr>
                  </w:pPr>
                  <w:proofErr w:type="spellStart"/>
                  <w:r w:rsidRPr="00763342">
                    <w:rPr>
                      <w:rFonts w:cstheme="minorHAnsi"/>
                      <w:sz w:val="20"/>
                      <w:szCs w:val="20"/>
                    </w:rPr>
                    <w:t>Food+Nonalcoholic</w:t>
                  </w:r>
                  <w:proofErr w:type="spellEnd"/>
                  <w:r w:rsidRPr="00763342">
                    <w:rPr>
                      <w:rFonts w:cstheme="minorHAnsi"/>
                      <w:sz w:val="20"/>
                      <w:szCs w:val="20"/>
                    </w:rPr>
                    <w:t xml:space="preserve"> Beverages, GENERAL</w:t>
                  </w:r>
                </w:p>
              </w:tc>
              <w:tc>
                <w:tcPr>
                  <w:tcW w:w="4500" w:type="dxa"/>
                </w:tcPr>
                <w:p w:rsidR="00100D23" w:rsidRPr="00763342" w:rsidRDefault="00100D23" w:rsidP="00100D23">
                  <w:pPr>
                    <w:pStyle w:val="NoSpacing"/>
                    <w:rPr>
                      <w:rFonts w:cstheme="minorHAnsi"/>
                      <w:sz w:val="20"/>
                      <w:szCs w:val="20"/>
                    </w:rPr>
                  </w:pPr>
                  <w:r w:rsidRPr="00763342">
                    <w:rPr>
                      <w:rFonts w:cstheme="minorHAnsi"/>
                      <w:sz w:val="20"/>
                      <w:szCs w:val="20"/>
                    </w:rPr>
                    <w:t>Credit to object code 6572:</w:t>
                  </w:r>
                </w:p>
                <w:p w:rsidR="00100D23" w:rsidRPr="00763342" w:rsidRDefault="00100D23" w:rsidP="00100D23">
                  <w:pPr>
                    <w:pStyle w:val="NoSpacing"/>
                    <w:rPr>
                      <w:rFonts w:cstheme="minorHAnsi"/>
                      <w:sz w:val="20"/>
                      <w:szCs w:val="20"/>
                    </w:rPr>
                  </w:pPr>
                  <w:r w:rsidRPr="00763342">
                    <w:rPr>
                      <w:rFonts w:cstheme="minorHAnsi"/>
                      <w:sz w:val="20"/>
                      <w:szCs w:val="20"/>
                    </w:rPr>
                    <w:t xml:space="preserve">INTERTUB </w:t>
                  </w:r>
                  <w:proofErr w:type="spellStart"/>
                  <w:r w:rsidRPr="00763342">
                    <w:rPr>
                      <w:rFonts w:cstheme="minorHAnsi"/>
                      <w:sz w:val="20"/>
                      <w:szCs w:val="20"/>
                    </w:rPr>
                    <w:t>Sales^Food+Nonalcoholic</w:t>
                  </w:r>
                  <w:proofErr w:type="spellEnd"/>
                  <w:r w:rsidRPr="00763342">
                    <w:rPr>
                      <w:rFonts w:cstheme="minorHAnsi"/>
                      <w:sz w:val="20"/>
                      <w:szCs w:val="20"/>
                    </w:rPr>
                    <w:t xml:space="preserve"> Beverages</w:t>
                  </w:r>
                </w:p>
              </w:tc>
            </w:tr>
            <w:tr w:rsidR="00100D23" w:rsidRPr="00763342" w:rsidTr="00C36838">
              <w:trPr>
                <w:trHeight w:val="863"/>
              </w:trPr>
              <w:tc>
                <w:tcPr>
                  <w:tcW w:w="4495" w:type="dxa"/>
                </w:tcPr>
                <w:p w:rsidR="00100D23" w:rsidRPr="00763342" w:rsidRDefault="00100D23" w:rsidP="00100D23">
                  <w:pPr>
                    <w:pStyle w:val="NoSpacing"/>
                    <w:rPr>
                      <w:rFonts w:cstheme="minorHAnsi"/>
                      <w:sz w:val="20"/>
                      <w:szCs w:val="20"/>
                    </w:rPr>
                  </w:pPr>
                  <w:r w:rsidRPr="00763342">
                    <w:rPr>
                      <w:rFonts w:cstheme="minorHAnsi"/>
                      <w:sz w:val="20"/>
                      <w:szCs w:val="20"/>
                    </w:rPr>
                    <w:t>Debit/Charge object code 8450:</w:t>
                  </w:r>
                </w:p>
                <w:p w:rsidR="00100D23" w:rsidRPr="00763342" w:rsidRDefault="00100D23" w:rsidP="00100D23">
                  <w:pPr>
                    <w:pStyle w:val="NoSpacing"/>
                    <w:rPr>
                      <w:rFonts w:cstheme="minorHAnsi"/>
                      <w:sz w:val="20"/>
                      <w:szCs w:val="20"/>
                    </w:rPr>
                  </w:pPr>
                  <w:r w:rsidRPr="00763342">
                    <w:rPr>
                      <w:rFonts w:cstheme="minorHAnsi"/>
                      <w:sz w:val="20"/>
                      <w:szCs w:val="20"/>
                    </w:rPr>
                    <w:t>Expenses Ineligible for Fed Reimbursement, GENERAL</w:t>
                  </w:r>
                </w:p>
              </w:tc>
              <w:tc>
                <w:tcPr>
                  <w:tcW w:w="4500" w:type="dxa"/>
                </w:tcPr>
                <w:p w:rsidR="00100D23" w:rsidRPr="00763342" w:rsidRDefault="00100D23" w:rsidP="00100D23">
                  <w:pPr>
                    <w:pStyle w:val="NoSpacing"/>
                    <w:rPr>
                      <w:rFonts w:cstheme="minorHAnsi"/>
                      <w:sz w:val="20"/>
                      <w:szCs w:val="20"/>
                    </w:rPr>
                  </w:pPr>
                  <w:r w:rsidRPr="00763342">
                    <w:rPr>
                      <w:rFonts w:cstheme="minorHAnsi"/>
                      <w:sz w:val="20"/>
                      <w:szCs w:val="20"/>
                    </w:rPr>
                    <w:t>Credit object code 8456:</w:t>
                  </w:r>
                </w:p>
                <w:p w:rsidR="00100D23" w:rsidRPr="00763342" w:rsidRDefault="00100D23" w:rsidP="00100D23">
                  <w:pPr>
                    <w:pStyle w:val="NoSpacing"/>
                    <w:rPr>
                      <w:rFonts w:cstheme="minorHAnsi"/>
                      <w:sz w:val="20"/>
                      <w:szCs w:val="20"/>
                    </w:rPr>
                  </w:pPr>
                  <w:r w:rsidRPr="00763342">
                    <w:rPr>
                      <w:rFonts w:cstheme="minorHAnsi"/>
                      <w:sz w:val="20"/>
                      <w:szCs w:val="20"/>
                    </w:rPr>
                    <w:t xml:space="preserve">Alcoholic Beverages, INTERTUB, Sales </w:t>
                  </w:r>
                  <w:proofErr w:type="spellStart"/>
                  <w:r w:rsidRPr="00763342">
                    <w:rPr>
                      <w:rFonts w:cstheme="minorHAnsi"/>
                      <w:sz w:val="20"/>
                      <w:szCs w:val="20"/>
                    </w:rPr>
                    <w:t>of^Expenses</w:t>
                  </w:r>
                  <w:proofErr w:type="spellEnd"/>
                  <w:r w:rsidRPr="00763342">
                    <w:rPr>
                      <w:rFonts w:cstheme="minorHAnsi"/>
                      <w:sz w:val="20"/>
                      <w:szCs w:val="20"/>
                    </w:rPr>
                    <w:t xml:space="preserve"> Ineligible for Fed </w:t>
                  </w:r>
                  <w:proofErr w:type="spellStart"/>
                  <w:r w:rsidRPr="00763342">
                    <w:rPr>
                      <w:rFonts w:cstheme="minorHAnsi"/>
                      <w:sz w:val="20"/>
                      <w:szCs w:val="20"/>
                    </w:rPr>
                    <w:t>Reimb</w:t>
                  </w:r>
                  <w:proofErr w:type="spellEnd"/>
                </w:p>
              </w:tc>
            </w:tr>
          </w:tbl>
          <w:p w:rsidR="00100D23" w:rsidRPr="00763342" w:rsidRDefault="00100D23" w:rsidP="00100D23">
            <w:pPr>
              <w:pStyle w:val="NoSpacing"/>
              <w:rPr>
                <w:rFonts w:cstheme="minorHAnsi"/>
                <w:sz w:val="20"/>
                <w:szCs w:val="20"/>
              </w:rPr>
            </w:pPr>
          </w:p>
          <w:p w:rsidR="00100D23" w:rsidRPr="00763342" w:rsidRDefault="00100D23" w:rsidP="00100D23">
            <w:pPr>
              <w:pStyle w:val="NoSpacing"/>
              <w:rPr>
                <w:rFonts w:cstheme="minorHAnsi"/>
                <w:i/>
                <w:sz w:val="20"/>
                <w:szCs w:val="20"/>
              </w:rPr>
            </w:pPr>
            <w:r w:rsidRPr="00763342">
              <w:rPr>
                <w:rFonts w:cstheme="minorHAnsi"/>
                <w:i/>
                <w:sz w:val="20"/>
                <w:szCs w:val="20"/>
              </w:rPr>
              <w:t xml:space="preserve">Both sets of entries are in the same super-object group and would appropriately net in the University’s financial statements.  Since alcoholic beverages represent an unallowable cost, the costs for these beverages must be separately booked as “ineligible” expenses.  Alcoholic beverages are but one item in a class of items whose costs are ineligible for federal reimbursement.  This portion of the function costs could also have been charged to object code 8455, “8455 – </w:t>
            </w:r>
            <w:proofErr w:type="spellStart"/>
            <w:r w:rsidRPr="00763342">
              <w:rPr>
                <w:rFonts w:cstheme="minorHAnsi"/>
                <w:i/>
                <w:sz w:val="20"/>
                <w:szCs w:val="20"/>
              </w:rPr>
              <w:t>Events^Expenses</w:t>
            </w:r>
            <w:proofErr w:type="spellEnd"/>
            <w:r w:rsidRPr="00763342">
              <w:rPr>
                <w:rFonts w:cstheme="minorHAnsi"/>
                <w:i/>
                <w:sz w:val="20"/>
                <w:szCs w:val="20"/>
              </w:rPr>
              <w:t xml:space="preserve"> Ineligible for Fed Reimbursement.”  </w:t>
            </w:r>
          </w:p>
          <w:p w:rsidR="00100D23" w:rsidRPr="00763342" w:rsidRDefault="00100D23" w:rsidP="00100D23">
            <w:pPr>
              <w:pStyle w:val="NoSpacing"/>
              <w:rPr>
                <w:rFonts w:cstheme="minorHAnsi"/>
                <w:sz w:val="20"/>
                <w:szCs w:val="20"/>
              </w:rPr>
            </w:pPr>
          </w:p>
          <w:p w:rsidR="00100D23" w:rsidRPr="00763342" w:rsidRDefault="00100D23" w:rsidP="00100D23">
            <w:pPr>
              <w:pStyle w:val="NoSpacing"/>
              <w:rPr>
                <w:rFonts w:cstheme="minorHAnsi"/>
                <w:sz w:val="20"/>
                <w:szCs w:val="20"/>
              </w:rPr>
            </w:pPr>
            <w:r w:rsidRPr="00763342">
              <w:rPr>
                <w:rFonts w:cstheme="minorHAnsi"/>
                <w:b/>
                <w:sz w:val="20"/>
                <w:szCs w:val="20"/>
              </w:rPr>
              <w:t>2.</w:t>
            </w:r>
            <w:r w:rsidRPr="00763342">
              <w:rPr>
                <w:rFonts w:cstheme="minorHAnsi"/>
                <w:sz w:val="20"/>
                <w:szCs w:val="20"/>
              </w:rPr>
              <w:t xml:space="preserve"> The Harvard University Library charges the Medical School for storing boxes at the Harvard Depository.</w:t>
            </w:r>
          </w:p>
          <w:p w:rsidR="00100D23" w:rsidRPr="00763342" w:rsidRDefault="00100D23" w:rsidP="00100D23">
            <w:pPr>
              <w:pStyle w:val="NoSpacing"/>
              <w:rPr>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00"/>
            </w:tblGrid>
            <w:tr w:rsidR="00100D23" w:rsidRPr="00763342" w:rsidTr="00C36838">
              <w:tc>
                <w:tcPr>
                  <w:tcW w:w="4495" w:type="dxa"/>
                </w:tcPr>
                <w:p w:rsidR="00100D23" w:rsidRPr="00763342" w:rsidRDefault="00100D23" w:rsidP="00100D23">
                  <w:pPr>
                    <w:pStyle w:val="NoSpacing"/>
                    <w:rPr>
                      <w:sz w:val="20"/>
                      <w:szCs w:val="20"/>
                    </w:rPr>
                  </w:pPr>
                  <w:r w:rsidRPr="00763342">
                    <w:rPr>
                      <w:sz w:val="20"/>
                      <w:szCs w:val="20"/>
                    </w:rPr>
                    <w:t>Medical School</w:t>
                  </w:r>
                </w:p>
              </w:tc>
              <w:tc>
                <w:tcPr>
                  <w:tcW w:w="4500" w:type="dxa"/>
                </w:tcPr>
                <w:p w:rsidR="00100D23" w:rsidRPr="00763342" w:rsidRDefault="00100D23" w:rsidP="00100D23">
                  <w:pPr>
                    <w:pStyle w:val="NoSpacing"/>
                    <w:rPr>
                      <w:sz w:val="20"/>
                      <w:szCs w:val="20"/>
                    </w:rPr>
                  </w:pPr>
                  <w:r w:rsidRPr="00763342">
                    <w:rPr>
                      <w:sz w:val="20"/>
                      <w:szCs w:val="20"/>
                    </w:rPr>
                    <w:t>Harvard University Library</w:t>
                  </w:r>
                </w:p>
              </w:tc>
            </w:tr>
            <w:tr w:rsidR="00100D23" w:rsidRPr="00763342" w:rsidTr="00C36838">
              <w:trPr>
                <w:trHeight w:val="422"/>
              </w:trPr>
              <w:tc>
                <w:tcPr>
                  <w:tcW w:w="4495" w:type="dxa"/>
                </w:tcPr>
                <w:p w:rsidR="00100D23" w:rsidRPr="00763342" w:rsidRDefault="00100D23" w:rsidP="00100D23">
                  <w:pPr>
                    <w:pStyle w:val="NoSpacing"/>
                    <w:rPr>
                      <w:rFonts w:cstheme="minorHAnsi"/>
                      <w:sz w:val="20"/>
                      <w:szCs w:val="20"/>
                    </w:rPr>
                  </w:pPr>
                  <w:r w:rsidRPr="00763342">
                    <w:rPr>
                      <w:rFonts w:cstheme="minorHAnsi"/>
                      <w:sz w:val="20"/>
                      <w:szCs w:val="20"/>
                    </w:rPr>
                    <w:t>Debit/charge object code 8160:</w:t>
                  </w:r>
                </w:p>
                <w:p w:rsidR="00100D23" w:rsidRPr="00763342" w:rsidRDefault="00100D23" w:rsidP="00100D23">
                  <w:pPr>
                    <w:pStyle w:val="NoSpacing"/>
                    <w:rPr>
                      <w:rFonts w:cstheme="minorHAnsi"/>
                      <w:sz w:val="20"/>
                      <w:szCs w:val="20"/>
                    </w:rPr>
                  </w:pPr>
                  <w:r w:rsidRPr="00763342">
                    <w:rPr>
                      <w:rFonts w:cstheme="minorHAnsi"/>
                      <w:sz w:val="20"/>
                      <w:szCs w:val="20"/>
                    </w:rPr>
                    <w:t xml:space="preserve">Records </w:t>
                  </w:r>
                  <w:proofErr w:type="spellStart"/>
                  <w:r w:rsidRPr="00763342">
                    <w:rPr>
                      <w:rFonts w:cstheme="minorHAnsi"/>
                      <w:sz w:val="20"/>
                      <w:szCs w:val="20"/>
                    </w:rPr>
                    <w:t>Storage+Protection</w:t>
                  </w:r>
                  <w:proofErr w:type="spellEnd"/>
                  <w:r w:rsidRPr="00763342">
                    <w:rPr>
                      <w:rFonts w:cstheme="minorHAnsi"/>
                      <w:sz w:val="20"/>
                      <w:szCs w:val="20"/>
                    </w:rPr>
                    <w:t xml:space="preserve"> </w:t>
                  </w:r>
                  <w:proofErr w:type="spellStart"/>
                  <w:r w:rsidRPr="00763342">
                    <w:rPr>
                      <w:rFonts w:cstheme="minorHAnsi"/>
                      <w:sz w:val="20"/>
                      <w:szCs w:val="20"/>
                    </w:rPr>
                    <w:t>Svcs</w:t>
                  </w:r>
                  <w:proofErr w:type="spellEnd"/>
                  <w:r w:rsidRPr="00763342">
                    <w:rPr>
                      <w:rFonts w:cstheme="minorHAnsi"/>
                      <w:sz w:val="20"/>
                      <w:szCs w:val="20"/>
                    </w:rPr>
                    <w:t>, GENERAL</w:t>
                  </w:r>
                </w:p>
              </w:tc>
              <w:tc>
                <w:tcPr>
                  <w:tcW w:w="4500" w:type="dxa"/>
                </w:tcPr>
                <w:p w:rsidR="00100D23" w:rsidRPr="00763342" w:rsidRDefault="00100D23" w:rsidP="00100D23">
                  <w:pPr>
                    <w:pStyle w:val="NoSpacing"/>
                    <w:rPr>
                      <w:rFonts w:cstheme="minorHAnsi"/>
                      <w:sz w:val="20"/>
                      <w:szCs w:val="20"/>
                    </w:rPr>
                  </w:pPr>
                  <w:r w:rsidRPr="00763342">
                    <w:rPr>
                      <w:rFonts w:cstheme="minorHAnsi"/>
                      <w:sz w:val="20"/>
                      <w:szCs w:val="20"/>
                    </w:rPr>
                    <w:t>Credit object code 8161:</w:t>
                  </w:r>
                </w:p>
                <w:p w:rsidR="00100D23" w:rsidRPr="00763342" w:rsidRDefault="00100D23" w:rsidP="00100D23">
                  <w:pPr>
                    <w:pStyle w:val="NoSpacing"/>
                    <w:rPr>
                      <w:rFonts w:cstheme="minorHAnsi"/>
                      <w:sz w:val="20"/>
                      <w:szCs w:val="20"/>
                    </w:rPr>
                  </w:pPr>
                  <w:r w:rsidRPr="00763342">
                    <w:rPr>
                      <w:rFonts w:cstheme="minorHAnsi"/>
                      <w:sz w:val="20"/>
                      <w:szCs w:val="20"/>
                    </w:rPr>
                    <w:t xml:space="preserve">Record </w:t>
                  </w:r>
                  <w:proofErr w:type="spellStart"/>
                  <w:r w:rsidRPr="00763342">
                    <w:rPr>
                      <w:rFonts w:cstheme="minorHAnsi"/>
                      <w:sz w:val="20"/>
                      <w:szCs w:val="20"/>
                    </w:rPr>
                    <w:t>Store+Protect</w:t>
                  </w:r>
                  <w:proofErr w:type="spellEnd"/>
                  <w:r w:rsidRPr="00763342">
                    <w:rPr>
                      <w:rFonts w:cstheme="minorHAnsi"/>
                      <w:sz w:val="20"/>
                      <w:szCs w:val="20"/>
                    </w:rPr>
                    <w:t xml:space="preserve"> </w:t>
                  </w:r>
                  <w:proofErr w:type="spellStart"/>
                  <w:r w:rsidRPr="00763342">
                    <w:rPr>
                      <w:rFonts w:cstheme="minorHAnsi"/>
                      <w:sz w:val="20"/>
                      <w:szCs w:val="20"/>
                    </w:rPr>
                    <w:t>Svcs</w:t>
                  </w:r>
                  <w:proofErr w:type="spellEnd"/>
                  <w:r w:rsidRPr="00763342">
                    <w:rPr>
                      <w:rFonts w:cstheme="minorHAnsi"/>
                      <w:sz w:val="20"/>
                      <w:szCs w:val="20"/>
                    </w:rPr>
                    <w:t xml:space="preserve">, </w:t>
                  </w:r>
                  <w:proofErr w:type="spellStart"/>
                  <w:r w:rsidRPr="00763342">
                    <w:rPr>
                      <w:rFonts w:cstheme="minorHAnsi"/>
                      <w:sz w:val="20"/>
                      <w:szCs w:val="20"/>
                    </w:rPr>
                    <w:t>INTERTUB^Records</w:t>
                  </w:r>
                  <w:proofErr w:type="spellEnd"/>
                  <w:r w:rsidRPr="00763342">
                    <w:rPr>
                      <w:rFonts w:cstheme="minorHAnsi"/>
                      <w:sz w:val="20"/>
                      <w:szCs w:val="20"/>
                    </w:rPr>
                    <w:t xml:space="preserve"> </w:t>
                  </w:r>
                  <w:proofErr w:type="spellStart"/>
                  <w:r w:rsidRPr="00763342">
                    <w:rPr>
                      <w:rFonts w:cstheme="minorHAnsi"/>
                      <w:sz w:val="20"/>
                      <w:szCs w:val="20"/>
                    </w:rPr>
                    <w:t>Storage+Protection</w:t>
                  </w:r>
                  <w:proofErr w:type="spellEnd"/>
                  <w:r w:rsidRPr="00763342">
                    <w:rPr>
                      <w:rFonts w:cstheme="minorHAnsi"/>
                      <w:sz w:val="20"/>
                      <w:szCs w:val="20"/>
                    </w:rPr>
                    <w:t xml:space="preserve"> </w:t>
                  </w:r>
                  <w:proofErr w:type="spellStart"/>
                  <w:r w:rsidRPr="00763342">
                    <w:rPr>
                      <w:rFonts w:cstheme="minorHAnsi"/>
                      <w:sz w:val="20"/>
                      <w:szCs w:val="20"/>
                    </w:rPr>
                    <w:t>Svcs</w:t>
                  </w:r>
                  <w:proofErr w:type="spellEnd"/>
                </w:p>
              </w:tc>
            </w:tr>
          </w:tbl>
          <w:p w:rsidR="00100D23" w:rsidRPr="00763342" w:rsidRDefault="00100D23" w:rsidP="00100D23">
            <w:pPr>
              <w:pStyle w:val="NoSpacing"/>
              <w:rPr>
                <w:rFonts w:cstheme="minorHAnsi"/>
                <w:i/>
                <w:iCs/>
                <w:sz w:val="20"/>
                <w:szCs w:val="20"/>
              </w:rPr>
            </w:pPr>
          </w:p>
          <w:p w:rsidR="00100D23" w:rsidRPr="00763342" w:rsidRDefault="00100D23" w:rsidP="00100D23">
            <w:pPr>
              <w:pStyle w:val="NoSpacing"/>
              <w:rPr>
                <w:rFonts w:cstheme="minorHAnsi"/>
                <w:i/>
                <w:sz w:val="20"/>
                <w:szCs w:val="20"/>
              </w:rPr>
            </w:pPr>
            <w:r w:rsidRPr="00763342">
              <w:rPr>
                <w:rFonts w:cstheme="minorHAnsi"/>
                <w:i/>
                <w:sz w:val="20"/>
                <w:szCs w:val="20"/>
              </w:rPr>
              <w:t>As in the first example, both sides of the entry are in the same super-object group and would appropriately net in the University’s financial statements.</w:t>
            </w:r>
          </w:p>
          <w:p w:rsidR="00100D23" w:rsidRPr="00763342" w:rsidRDefault="00100D23" w:rsidP="00100D23">
            <w:pPr>
              <w:pStyle w:val="NoSpacing"/>
              <w:rPr>
                <w:rFonts w:cstheme="minorHAnsi"/>
                <w:i/>
                <w:sz w:val="20"/>
                <w:szCs w:val="20"/>
              </w:rPr>
            </w:pPr>
          </w:p>
          <w:p w:rsidR="00100D23" w:rsidRPr="00763342" w:rsidRDefault="00100D23" w:rsidP="00100D23">
            <w:pPr>
              <w:pStyle w:val="NoSpacing"/>
              <w:rPr>
                <w:rFonts w:cstheme="minorHAnsi"/>
                <w:iCs/>
                <w:sz w:val="20"/>
                <w:szCs w:val="20"/>
              </w:rPr>
            </w:pPr>
            <w:r w:rsidRPr="00763342">
              <w:rPr>
                <w:rFonts w:cstheme="minorHAnsi"/>
                <w:b/>
                <w:iCs/>
                <w:sz w:val="20"/>
                <w:szCs w:val="20"/>
              </w:rPr>
              <w:t>3.</w:t>
            </w:r>
            <w:r w:rsidRPr="00763342">
              <w:rPr>
                <w:rFonts w:cstheme="minorHAnsi"/>
                <w:iCs/>
                <w:sz w:val="20"/>
                <w:szCs w:val="20"/>
              </w:rPr>
              <w:t xml:space="preserve"> UHS charges GSD for providing Graduate Student Learning Support services from three learning specialists.</w:t>
            </w:r>
          </w:p>
          <w:p w:rsidR="00100D23" w:rsidRPr="00763342" w:rsidRDefault="00100D23" w:rsidP="00100D23">
            <w:pPr>
              <w:pStyle w:val="NoSpacing"/>
              <w:rPr>
                <w:rFonts w:cstheme="minorHAnsi"/>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00"/>
            </w:tblGrid>
            <w:tr w:rsidR="00100D23" w:rsidRPr="00763342" w:rsidTr="00C36838">
              <w:tc>
                <w:tcPr>
                  <w:tcW w:w="4495" w:type="dxa"/>
                </w:tcPr>
                <w:p w:rsidR="00100D23" w:rsidRPr="00763342" w:rsidRDefault="00100D23" w:rsidP="00100D23">
                  <w:pPr>
                    <w:pStyle w:val="NoSpacing"/>
                    <w:rPr>
                      <w:rFonts w:cstheme="minorHAnsi"/>
                      <w:smallCaps/>
                      <w:sz w:val="20"/>
                      <w:szCs w:val="20"/>
                    </w:rPr>
                  </w:pPr>
                  <w:r w:rsidRPr="00763342">
                    <w:rPr>
                      <w:rFonts w:cstheme="minorHAnsi"/>
                      <w:smallCaps/>
                      <w:sz w:val="20"/>
                      <w:szCs w:val="20"/>
                    </w:rPr>
                    <w:t>GSD</w:t>
                  </w:r>
                </w:p>
              </w:tc>
              <w:tc>
                <w:tcPr>
                  <w:tcW w:w="4500" w:type="dxa"/>
                </w:tcPr>
                <w:p w:rsidR="00100D23" w:rsidRPr="00763342" w:rsidRDefault="00100D23" w:rsidP="00100D23">
                  <w:pPr>
                    <w:pStyle w:val="NoSpacing"/>
                    <w:rPr>
                      <w:rFonts w:cstheme="minorHAnsi"/>
                      <w:smallCaps/>
                      <w:sz w:val="20"/>
                      <w:szCs w:val="20"/>
                    </w:rPr>
                  </w:pPr>
                  <w:r w:rsidRPr="00763342">
                    <w:rPr>
                      <w:rFonts w:cstheme="minorHAnsi"/>
                      <w:smallCaps/>
                      <w:sz w:val="20"/>
                      <w:szCs w:val="20"/>
                    </w:rPr>
                    <w:t>UHS</w:t>
                  </w:r>
                </w:p>
              </w:tc>
            </w:tr>
            <w:tr w:rsidR="00100D23" w:rsidRPr="00763342" w:rsidTr="00C36838">
              <w:trPr>
                <w:trHeight w:val="422"/>
              </w:trPr>
              <w:tc>
                <w:tcPr>
                  <w:tcW w:w="4495" w:type="dxa"/>
                </w:tcPr>
                <w:p w:rsidR="00100D23" w:rsidRPr="00763342" w:rsidRDefault="00100D23" w:rsidP="00100D23">
                  <w:pPr>
                    <w:pStyle w:val="NoSpacing"/>
                    <w:rPr>
                      <w:rFonts w:cstheme="minorHAnsi"/>
                      <w:sz w:val="20"/>
                      <w:szCs w:val="20"/>
                    </w:rPr>
                  </w:pPr>
                  <w:r w:rsidRPr="00763342">
                    <w:rPr>
                      <w:rFonts w:cstheme="minorHAnsi"/>
                      <w:sz w:val="20"/>
                      <w:szCs w:val="20"/>
                    </w:rPr>
                    <w:t>Debit/charge object code 8170:</w:t>
                  </w:r>
                </w:p>
                <w:p w:rsidR="00100D23" w:rsidRPr="00763342" w:rsidRDefault="00100D23" w:rsidP="00100D23">
                  <w:pPr>
                    <w:pStyle w:val="NoSpacing"/>
                    <w:rPr>
                      <w:rFonts w:cstheme="minorHAnsi"/>
                      <w:sz w:val="20"/>
                      <w:szCs w:val="20"/>
                    </w:rPr>
                  </w:pPr>
                  <w:r w:rsidRPr="00763342">
                    <w:rPr>
                      <w:rFonts w:cstheme="minorHAnsi"/>
                      <w:sz w:val="20"/>
                      <w:szCs w:val="20"/>
                    </w:rPr>
                    <w:t xml:space="preserve">Other Student Related </w:t>
                  </w:r>
                  <w:proofErr w:type="spellStart"/>
                  <w:r w:rsidRPr="00763342">
                    <w:rPr>
                      <w:rFonts w:cstheme="minorHAnsi"/>
                      <w:sz w:val="20"/>
                      <w:szCs w:val="20"/>
                    </w:rPr>
                    <w:t>Svcs</w:t>
                  </w:r>
                  <w:proofErr w:type="spellEnd"/>
                  <w:r w:rsidRPr="00763342">
                    <w:rPr>
                      <w:rFonts w:cstheme="minorHAnsi"/>
                      <w:sz w:val="20"/>
                      <w:szCs w:val="20"/>
                    </w:rPr>
                    <w:t>, GENERAL</w:t>
                  </w:r>
                </w:p>
              </w:tc>
              <w:tc>
                <w:tcPr>
                  <w:tcW w:w="4500" w:type="dxa"/>
                </w:tcPr>
                <w:p w:rsidR="00100D23" w:rsidRPr="00763342" w:rsidRDefault="00100D23" w:rsidP="00100D23">
                  <w:pPr>
                    <w:pStyle w:val="NoSpacing"/>
                    <w:rPr>
                      <w:rFonts w:cstheme="minorHAnsi"/>
                      <w:sz w:val="20"/>
                      <w:szCs w:val="20"/>
                    </w:rPr>
                  </w:pPr>
                  <w:r w:rsidRPr="00763342">
                    <w:rPr>
                      <w:rFonts w:cstheme="minorHAnsi"/>
                      <w:sz w:val="20"/>
                      <w:szCs w:val="20"/>
                    </w:rPr>
                    <w:t>Credit object code 8271:</w:t>
                  </w:r>
                </w:p>
                <w:p w:rsidR="00100D23" w:rsidRPr="00763342" w:rsidRDefault="00100D23" w:rsidP="00100D23">
                  <w:pPr>
                    <w:pStyle w:val="NoSpacing"/>
                    <w:rPr>
                      <w:rFonts w:cstheme="minorHAnsi"/>
                      <w:sz w:val="20"/>
                      <w:szCs w:val="20"/>
                    </w:rPr>
                  </w:pPr>
                  <w:r w:rsidRPr="00763342">
                    <w:rPr>
                      <w:rFonts w:cstheme="minorHAnsi"/>
                      <w:sz w:val="20"/>
                      <w:szCs w:val="20"/>
                    </w:rPr>
                    <w:t xml:space="preserve">Health Care Services, </w:t>
                  </w:r>
                  <w:proofErr w:type="spellStart"/>
                  <w:r w:rsidRPr="00763342">
                    <w:rPr>
                      <w:rFonts w:cstheme="minorHAnsi"/>
                      <w:sz w:val="20"/>
                      <w:szCs w:val="20"/>
                    </w:rPr>
                    <w:t>INTERTUB^Other</w:t>
                  </w:r>
                  <w:proofErr w:type="spellEnd"/>
                  <w:r w:rsidRPr="00763342">
                    <w:rPr>
                      <w:rFonts w:cstheme="minorHAnsi"/>
                      <w:sz w:val="20"/>
                      <w:szCs w:val="20"/>
                    </w:rPr>
                    <w:t xml:space="preserve"> </w:t>
                  </w:r>
                  <w:proofErr w:type="spellStart"/>
                  <w:r w:rsidRPr="00763342">
                    <w:rPr>
                      <w:rFonts w:cstheme="minorHAnsi"/>
                      <w:sz w:val="20"/>
                      <w:szCs w:val="20"/>
                    </w:rPr>
                    <w:t>Svcs</w:t>
                  </w:r>
                  <w:proofErr w:type="spellEnd"/>
                </w:p>
              </w:tc>
            </w:tr>
          </w:tbl>
          <w:p w:rsidR="00100D23" w:rsidRPr="00763342" w:rsidRDefault="00100D23" w:rsidP="00100D23">
            <w:pPr>
              <w:pStyle w:val="NoSpacing"/>
              <w:rPr>
                <w:rFonts w:cstheme="minorHAnsi"/>
                <w:i/>
                <w:iCs/>
                <w:sz w:val="20"/>
                <w:szCs w:val="20"/>
              </w:rPr>
            </w:pPr>
          </w:p>
          <w:p w:rsidR="00100D23" w:rsidRPr="00763342" w:rsidRDefault="00100D23" w:rsidP="00100D23">
            <w:pPr>
              <w:pStyle w:val="NoSpacing"/>
              <w:rPr>
                <w:rFonts w:cstheme="minorHAnsi"/>
                <w:i/>
                <w:sz w:val="20"/>
                <w:szCs w:val="20"/>
              </w:rPr>
            </w:pPr>
            <w:r w:rsidRPr="00763342">
              <w:rPr>
                <w:rFonts w:cstheme="minorHAnsi"/>
                <w:i/>
                <w:sz w:val="20"/>
                <w:szCs w:val="20"/>
              </w:rPr>
              <w:t>While the two sides of the entry are not in the same super-object group, they are in the same mega-object code (M802 – Other Services) and therefore would appropriately net in the University’s financial statements.</w:t>
            </w:r>
          </w:p>
          <w:p w:rsidR="00100D23" w:rsidRPr="00763342" w:rsidRDefault="00100D23" w:rsidP="00100D23">
            <w:pPr>
              <w:pStyle w:val="NoSpacing"/>
              <w:rPr>
                <w:rFonts w:cstheme="minorHAnsi"/>
                <w:sz w:val="20"/>
                <w:szCs w:val="20"/>
              </w:rPr>
            </w:pPr>
          </w:p>
          <w:p w:rsidR="00100D23" w:rsidRPr="00763342" w:rsidRDefault="00100D23" w:rsidP="00100D23">
            <w:pPr>
              <w:pStyle w:val="NoSpacing"/>
              <w:rPr>
                <w:rFonts w:cstheme="minorHAnsi"/>
                <w:iCs/>
                <w:sz w:val="20"/>
                <w:szCs w:val="20"/>
              </w:rPr>
            </w:pPr>
            <w:r w:rsidRPr="00763342">
              <w:rPr>
                <w:rFonts w:cstheme="minorHAnsi"/>
                <w:b/>
                <w:iCs/>
                <w:sz w:val="20"/>
                <w:szCs w:val="20"/>
              </w:rPr>
              <w:t>4.</w:t>
            </w:r>
            <w:r w:rsidRPr="00763342">
              <w:rPr>
                <w:rFonts w:cstheme="minorHAnsi"/>
                <w:iCs/>
                <w:sz w:val="20"/>
                <w:szCs w:val="20"/>
              </w:rPr>
              <w:t xml:space="preserve"> Radcliffe charges FAS Core for renting several rooms in the </w:t>
            </w:r>
            <w:proofErr w:type="spellStart"/>
            <w:r w:rsidRPr="00763342">
              <w:rPr>
                <w:rFonts w:cstheme="minorHAnsi"/>
                <w:iCs/>
                <w:sz w:val="20"/>
                <w:szCs w:val="20"/>
              </w:rPr>
              <w:t>Cronkhite</w:t>
            </w:r>
            <w:proofErr w:type="spellEnd"/>
            <w:r w:rsidRPr="00763342">
              <w:rPr>
                <w:rFonts w:cstheme="minorHAnsi"/>
                <w:iCs/>
                <w:sz w:val="20"/>
                <w:szCs w:val="20"/>
              </w:rPr>
              <w:t xml:space="preserve"> Center to house visiting lecturers.</w:t>
            </w:r>
          </w:p>
          <w:p w:rsidR="00100D23" w:rsidRPr="00763342" w:rsidRDefault="00100D23" w:rsidP="008D6CE8">
            <w:pPr>
              <w:pStyle w:val="NoSpacing"/>
              <w:rPr>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00"/>
            </w:tblGrid>
            <w:tr w:rsidR="00100D23" w:rsidRPr="00763342" w:rsidTr="00C36838">
              <w:tc>
                <w:tcPr>
                  <w:tcW w:w="4495" w:type="dxa"/>
                </w:tcPr>
                <w:p w:rsidR="00100D23" w:rsidRPr="00763342" w:rsidRDefault="00100D23" w:rsidP="008D6CE8">
                  <w:pPr>
                    <w:pStyle w:val="NoSpacing"/>
                    <w:rPr>
                      <w:sz w:val="20"/>
                      <w:szCs w:val="20"/>
                    </w:rPr>
                  </w:pPr>
                  <w:r w:rsidRPr="00763342">
                    <w:rPr>
                      <w:sz w:val="20"/>
                      <w:szCs w:val="20"/>
                    </w:rPr>
                    <w:t>FAS Core</w:t>
                  </w:r>
                </w:p>
              </w:tc>
              <w:tc>
                <w:tcPr>
                  <w:tcW w:w="4500" w:type="dxa"/>
                </w:tcPr>
                <w:p w:rsidR="00100D23" w:rsidRPr="00763342" w:rsidRDefault="00100D23" w:rsidP="008D6CE8">
                  <w:pPr>
                    <w:pStyle w:val="NoSpacing"/>
                    <w:rPr>
                      <w:sz w:val="20"/>
                      <w:szCs w:val="20"/>
                    </w:rPr>
                  </w:pPr>
                  <w:r w:rsidRPr="00763342">
                    <w:rPr>
                      <w:sz w:val="20"/>
                      <w:szCs w:val="20"/>
                    </w:rPr>
                    <w:t>Radcliffe</w:t>
                  </w:r>
                </w:p>
              </w:tc>
            </w:tr>
            <w:tr w:rsidR="00100D23" w:rsidRPr="00763342" w:rsidTr="00C36838">
              <w:trPr>
                <w:trHeight w:val="422"/>
              </w:trPr>
              <w:tc>
                <w:tcPr>
                  <w:tcW w:w="4495" w:type="dxa"/>
                </w:tcPr>
                <w:p w:rsidR="00100D23" w:rsidRPr="00763342" w:rsidRDefault="00100D23" w:rsidP="00100D23">
                  <w:pPr>
                    <w:pStyle w:val="NoSpacing"/>
                    <w:rPr>
                      <w:rFonts w:cstheme="minorHAnsi"/>
                      <w:sz w:val="20"/>
                      <w:szCs w:val="20"/>
                    </w:rPr>
                  </w:pPr>
                  <w:r w:rsidRPr="00763342">
                    <w:rPr>
                      <w:rFonts w:cstheme="minorHAnsi"/>
                      <w:sz w:val="20"/>
                      <w:szCs w:val="20"/>
                    </w:rPr>
                    <w:t>Debit/charge object code 7230:</w:t>
                  </w:r>
                </w:p>
                <w:p w:rsidR="00100D23" w:rsidRPr="00763342" w:rsidRDefault="00100D23" w:rsidP="00100D23">
                  <w:pPr>
                    <w:pStyle w:val="NoSpacing"/>
                    <w:rPr>
                      <w:rFonts w:cstheme="minorHAnsi"/>
                      <w:sz w:val="20"/>
                      <w:szCs w:val="20"/>
                    </w:rPr>
                  </w:pPr>
                  <w:proofErr w:type="spellStart"/>
                  <w:r w:rsidRPr="00763342">
                    <w:rPr>
                      <w:rFonts w:cstheme="minorHAnsi"/>
                      <w:sz w:val="20"/>
                      <w:szCs w:val="20"/>
                    </w:rPr>
                    <w:t>Rentals+Leases</w:t>
                  </w:r>
                  <w:proofErr w:type="spellEnd"/>
                  <w:r w:rsidRPr="00763342">
                    <w:rPr>
                      <w:rFonts w:cstheme="minorHAnsi"/>
                      <w:sz w:val="20"/>
                      <w:szCs w:val="20"/>
                    </w:rPr>
                    <w:t xml:space="preserve"> of Space, GENERAL</w:t>
                  </w:r>
                </w:p>
              </w:tc>
              <w:tc>
                <w:tcPr>
                  <w:tcW w:w="4500" w:type="dxa"/>
                </w:tcPr>
                <w:p w:rsidR="00100D23" w:rsidRPr="00763342" w:rsidRDefault="00100D23" w:rsidP="00100D23">
                  <w:pPr>
                    <w:pStyle w:val="NoSpacing"/>
                    <w:rPr>
                      <w:rFonts w:cstheme="minorHAnsi"/>
                      <w:sz w:val="20"/>
                      <w:szCs w:val="20"/>
                    </w:rPr>
                  </w:pPr>
                  <w:r w:rsidRPr="00763342">
                    <w:rPr>
                      <w:rFonts w:cstheme="minorHAnsi"/>
                      <w:sz w:val="20"/>
                      <w:szCs w:val="20"/>
                    </w:rPr>
                    <w:t>Credit object code 7240:</w:t>
                  </w:r>
                </w:p>
                <w:p w:rsidR="00100D23" w:rsidRPr="00763342" w:rsidRDefault="00100D23" w:rsidP="00100D23">
                  <w:pPr>
                    <w:pStyle w:val="NoSpacing"/>
                    <w:rPr>
                      <w:rFonts w:cstheme="minorHAnsi"/>
                      <w:sz w:val="20"/>
                      <w:szCs w:val="20"/>
                    </w:rPr>
                  </w:pPr>
                  <w:r w:rsidRPr="00763342">
                    <w:rPr>
                      <w:rFonts w:cstheme="minorHAnsi"/>
                      <w:sz w:val="20"/>
                      <w:szCs w:val="20"/>
                    </w:rPr>
                    <w:t xml:space="preserve">Real Estate Rentals, </w:t>
                  </w:r>
                  <w:proofErr w:type="spellStart"/>
                  <w:r w:rsidRPr="00763342">
                    <w:rPr>
                      <w:rFonts w:cstheme="minorHAnsi"/>
                      <w:sz w:val="20"/>
                      <w:szCs w:val="20"/>
                    </w:rPr>
                    <w:t>INTERTUB^Real</w:t>
                  </w:r>
                  <w:proofErr w:type="spellEnd"/>
                  <w:r w:rsidRPr="00763342">
                    <w:rPr>
                      <w:rFonts w:cstheme="minorHAnsi"/>
                      <w:sz w:val="20"/>
                      <w:szCs w:val="20"/>
                    </w:rPr>
                    <w:t xml:space="preserve"> Estate Rental Recoveries, Internal</w:t>
                  </w:r>
                </w:p>
              </w:tc>
            </w:tr>
          </w:tbl>
          <w:p w:rsidR="00100D23" w:rsidRPr="00763342" w:rsidRDefault="00100D23" w:rsidP="00100D23">
            <w:pPr>
              <w:pStyle w:val="NoSpacing"/>
              <w:rPr>
                <w:rFonts w:cs="Times New Roman"/>
                <w:i/>
                <w:iCs/>
                <w:sz w:val="20"/>
                <w:szCs w:val="20"/>
              </w:rPr>
            </w:pPr>
          </w:p>
          <w:p w:rsidR="00100D23" w:rsidRPr="00763342" w:rsidRDefault="00100D23" w:rsidP="00100D23">
            <w:pPr>
              <w:pStyle w:val="NoSpacing"/>
              <w:rPr>
                <w:rFonts w:cs="Times New Roman"/>
                <w:i/>
                <w:sz w:val="20"/>
                <w:szCs w:val="20"/>
              </w:rPr>
            </w:pPr>
            <w:r w:rsidRPr="00763342">
              <w:rPr>
                <w:rFonts w:cs="Times New Roman"/>
                <w:i/>
                <w:sz w:val="20"/>
                <w:szCs w:val="20"/>
              </w:rPr>
              <w:t>While the two sides of the entry are not in the same super-object group, they are in the same mega-object code (M722 – Space, Operations) and therefore would appropriately net in the University’s financial statements.</w:t>
            </w:r>
          </w:p>
          <w:bookmarkEnd w:id="0"/>
          <w:p w:rsidR="00100D23" w:rsidRPr="00100D23" w:rsidRDefault="00100D23" w:rsidP="00100D23">
            <w:pPr>
              <w:pStyle w:val="NoSpacing"/>
              <w:rPr>
                <w:rFonts w:cs="Times New Roman"/>
                <w:i/>
                <w:sz w:val="20"/>
                <w:szCs w:val="20"/>
              </w:rPr>
            </w:pPr>
          </w:p>
        </w:tc>
      </w:tr>
    </w:tbl>
    <w:p w:rsidR="000C3A0D" w:rsidRPr="00100D23" w:rsidRDefault="000C3A0D" w:rsidP="00100D23">
      <w:pPr>
        <w:pStyle w:val="NoSpacing"/>
        <w:rPr>
          <w:sz w:val="20"/>
          <w:szCs w:val="20"/>
        </w:rPr>
      </w:pPr>
    </w:p>
    <w:sectPr w:rsidR="000C3A0D" w:rsidRPr="00100D23" w:rsidSect="00100D23">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A8" w:rsidRDefault="00214CA8" w:rsidP="00100D23">
      <w:pPr>
        <w:spacing w:after="0" w:line="240" w:lineRule="auto"/>
      </w:pPr>
      <w:r>
        <w:separator/>
      </w:r>
    </w:p>
  </w:endnote>
  <w:endnote w:type="continuationSeparator" w:id="0">
    <w:p w:rsidR="00214CA8" w:rsidRDefault="00214CA8" w:rsidP="0010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85884261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100D23" w:rsidRPr="00100D23" w:rsidRDefault="00100D23">
            <w:pPr>
              <w:pStyle w:val="Footer"/>
              <w:jc w:val="right"/>
              <w:rPr>
                <w:rFonts w:ascii="Arial" w:hAnsi="Arial" w:cs="Arial"/>
                <w:sz w:val="20"/>
                <w:szCs w:val="20"/>
              </w:rPr>
            </w:pPr>
            <w:r w:rsidRPr="00100D23">
              <w:rPr>
                <w:rFonts w:ascii="Arial" w:hAnsi="Arial" w:cs="Arial"/>
                <w:sz w:val="20"/>
                <w:szCs w:val="20"/>
              </w:rPr>
              <w:t>Internal Billing Transactions – Appendix A</w:t>
            </w:r>
            <w:r>
              <w:rPr>
                <w:rFonts w:ascii="Arial" w:hAnsi="Arial" w:cs="Arial"/>
                <w:sz w:val="20"/>
                <w:szCs w:val="20"/>
              </w:rPr>
              <w:tab/>
            </w:r>
            <w:r>
              <w:rPr>
                <w:rFonts w:ascii="Arial" w:hAnsi="Arial" w:cs="Arial"/>
                <w:sz w:val="20"/>
                <w:szCs w:val="20"/>
              </w:rPr>
              <w:tab/>
            </w:r>
            <w:r w:rsidRPr="00100D23">
              <w:rPr>
                <w:rFonts w:ascii="Arial" w:hAnsi="Arial" w:cs="Arial"/>
                <w:sz w:val="20"/>
                <w:szCs w:val="20"/>
              </w:rPr>
              <w:t xml:space="preserve">Page </w:t>
            </w:r>
            <w:r w:rsidRPr="00100D23">
              <w:rPr>
                <w:rFonts w:ascii="Arial" w:hAnsi="Arial" w:cs="Arial"/>
                <w:b/>
                <w:bCs/>
                <w:sz w:val="20"/>
                <w:szCs w:val="20"/>
              </w:rPr>
              <w:fldChar w:fldCharType="begin"/>
            </w:r>
            <w:r w:rsidRPr="00100D23">
              <w:rPr>
                <w:rFonts w:ascii="Arial" w:hAnsi="Arial" w:cs="Arial"/>
                <w:b/>
                <w:bCs/>
                <w:sz w:val="20"/>
                <w:szCs w:val="20"/>
              </w:rPr>
              <w:instrText xml:space="preserve"> PAGE </w:instrText>
            </w:r>
            <w:r w:rsidRPr="00100D23">
              <w:rPr>
                <w:rFonts w:ascii="Arial" w:hAnsi="Arial" w:cs="Arial"/>
                <w:b/>
                <w:bCs/>
                <w:sz w:val="20"/>
                <w:szCs w:val="20"/>
              </w:rPr>
              <w:fldChar w:fldCharType="separate"/>
            </w:r>
            <w:r w:rsidR="00763342">
              <w:rPr>
                <w:rFonts w:ascii="Arial" w:hAnsi="Arial" w:cs="Arial"/>
                <w:b/>
                <w:bCs/>
                <w:noProof/>
                <w:sz w:val="20"/>
                <w:szCs w:val="20"/>
              </w:rPr>
              <w:t>1</w:t>
            </w:r>
            <w:r w:rsidRPr="00100D23">
              <w:rPr>
                <w:rFonts w:ascii="Arial" w:hAnsi="Arial" w:cs="Arial"/>
                <w:b/>
                <w:bCs/>
                <w:sz w:val="20"/>
                <w:szCs w:val="20"/>
              </w:rPr>
              <w:fldChar w:fldCharType="end"/>
            </w:r>
            <w:r w:rsidRPr="00100D23">
              <w:rPr>
                <w:rFonts w:ascii="Arial" w:hAnsi="Arial" w:cs="Arial"/>
                <w:sz w:val="20"/>
                <w:szCs w:val="20"/>
              </w:rPr>
              <w:t xml:space="preserve"> of </w:t>
            </w:r>
            <w:r w:rsidRPr="00100D23">
              <w:rPr>
                <w:rFonts w:ascii="Arial" w:hAnsi="Arial" w:cs="Arial"/>
                <w:b/>
                <w:bCs/>
                <w:sz w:val="20"/>
                <w:szCs w:val="20"/>
              </w:rPr>
              <w:fldChar w:fldCharType="begin"/>
            </w:r>
            <w:r w:rsidRPr="00100D23">
              <w:rPr>
                <w:rFonts w:ascii="Arial" w:hAnsi="Arial" w:cs="Arial"/>
                <w:b/>
                <w:bCs/>
                <w:sz w:val="20"/>
                <w:szCs w:val="20"/>
              </w:rPr>
              <w:instrText xml:space="preserve"> NUMPAGES  </w:instrText>
            </w:r>
            <w:r w:rsidRPr="00100D23">
              <w:rPr>
                <w:rFonts w:ascii="Arial" w:hAnsi="Arial" w:cs="Arial"/>
                <w:b/>
                <w:bCs/>
                <w:sz w:val="20"/>
                <w:szCs w:val="20"/>
              </w:rPr>
              <w:fldChar w:fldCharType="separate"/>
            </w:r>
            <w:r w:rsidR="00763342">
              <w:rPr>
                <w:rFonts w:ascii="Arial" w:hAnsi="Arial" w:cs="Arial"/>
                <w:b/>
                <w:bCs/>
                <w:noProof/>
                <w:sz w:val="20"/>
                <w:szCs w:val="20"/>
              </w:rPr>
              <w:t>1</w:t>
            </w:r>
            <w:r w:rsidRPr="00100D23">
              <w:rPr>
                <w:rFonts w:ascii="Arial" w:hAnsi="Arial" w:cs="Arial"/>
                <w:b/>
                <w:bCs/>
                <w:sz w:val="20"/>
                <w:szCs w:val="20"/>
              </w:rPr>
              <w:fldChar w:fldCharType="end"/>
            </w:r>
          </w:p>
        </w:sdtContent>
      </w:sdt>
    </w:sdtContent>
  </w:sdt>
  <w:p w:rsidR="00100D23" w:rsidRPr="00100D23" w:rsidRDefault="00100D23">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A8" w:rsidRDefault="00214CA8" w:rsidP="00100D23">
      <w:pPr>
        <w:spacing w:after="0" w:line="240" w:lineRule="auto"/>
      </w:pPr>
      <w:r>
        <w:separator/>
      </w:r>
    </w:p>
  </w:footnote>
  <w:footnote w:type="continuationSeparator" w:id="0">
    <w:p w:rsidR="00214CA8" w:rsidRDefault="00214CA8" w:rsidP="00100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078"/>
    <w:multiLevelType w:val="hybridMultilevel"/>
    <w:tmpl w:val="0A9EA0C6"/>
    <w:lvl w:ilvl="0" w:tplc="0409000F">
      <w:start w:val="1"/>
      <w:numFmt w:val="decimal"/>
      <w:lvlText w:val="%1."/>
      <w:lvlJc w:val="left"/>
      <w:pPr>
        <w:tabs>
          <w:tab w:val="num" w:pos="900"/>
        </w:tabs>
        <w:ind w:left="900" w:hanging="360"/>
      </w:pPr>
    </w:lvl>
    <w:lvl w:ilvl="1" w:tplc="ADD8CDF6">
      <w:start w:val="1"/>
      <w:numFmt w:val="bullet"/>
      <w:lvlText w:val=""/>
      <w:lvlJc w:val="left"/>
      <w:pPr>
        <w:tabs>
          <w:tab w:val="num" w:pos="1620"/>
        </w:tabs>
        <w:ind w:left="16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23"/>
    <w:rsid w:val="000C3A0D"/>
    <w:rsid w:val="00100D23"/>
    <w:rsid w:val="00214CA8"/>
    <w:rsid w:val="00763342"/>
    <w:rsid w:val="008D6CE8"/>
    <w:rsid w:val="00983AB6"/>
    <w:rsid w:val="00BE4421"/>
    <w:rsid w:val="00C70281"/>
    <w:rsid w:val="00EB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D23"/>
    <w:pPr>
      <w:spacing w:after="0" w:line="240" w:lineRule="auto"/>
    </w:pPr>
  </w:style>
  <w:style w:type="paragraph" w:styleId="BalloonText">
    <w:name w:val="Balloon Text"/>
    <w:basedOn w:val="Normal"/>
    <w:link w:val="BalloonTextChar"/>
    <w:uiPriority w:val="99"/>
    <w:semiHidden/>
    <w:unhideWhenUsed/>
    <w:rsid w:val="00100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D23"/>
    <w:rPr>
      <w:rFonts w:ascii="Tahoma" w:hAnsi="Tahoma" w:cs="Tahoma"/>
      <w:sz w:val="16"/>
      <w:szCs w:val="16"/>
    </w:rPr>
  </w:style>
  <w:style w:type="paragraph" w:styleId="Header">
    <w:name w:val="header"/>
    <w:basedOn w:val="Normal"/>
    <w:link w:val="HeaderChar"/>
    <w:uiPriority w:val="99"/>
    <w:unhideWhenUsed/>
    <w:rsid w:val="00100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23"/>
  </w:style>
  <w:style w:type="paragraph" w:styleId="Footer">
    <w:name w:val="footer"/>
    <w:basedOn w:val="Normal"/>
    <w:link w:val="FooterChar"/>
    <w:uiPriority w:val="99"/>
    <w:unhideWhenUsed/>
    <w:rsid w:val="0010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D23"/>
    <w:pPr>
      <w:spacing w:after="0" w:line="240" w:lineRule="auto"/>
    </w:pPr>
  </w:style>
  <w:style w:type="paragraph" w:styleId="BalloonText">
    <w:name w:val="Balloon Text"/>
    <w:basedOn w:val="Normal"/>
    <w:link w:val="BalloonTextChar"/>
    <w:uiPriority w:val="99"/>
    <w:semiHidden/>
    <w:unhideWhenUsed/>
    <w:rsid w:val="00100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D23"/>
    <w:rPr>
      <w:rFonts w:ascii="Tahoma" w:hAnsi="Tahoma" w:cs="Tahoma"/>
      <w:sz w:val="16"/>
      <w:szCs w:val="16"/>
    </w:rPr>
  </w:style>
  <w:style w:type="paragraph" w:styleId="Header">
    <w:name w:val="header"/>
    <w:basedOn w:val="Normal"/>
    <w:link w:val="HeaderChar"/>
    <w:uiPriority w:val="99"/>
    <w:unhideWhenUsed/>
    <w:rsid w:val="00100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23"/>
  </w:style>
  <w:style w:type="paragraph" w:styleId="Footer">
    <w:name w:val="footer"/>
    <w:basedOn w:val="Normal"/>
    <w:link w:val="FooterChar"/>
    <w:uiPriority w:val="99"/>
    <w:unhideWhenUsed/>
    <w:rsid w:val="0010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392</Words>
  <Characters>2236</Characters>
  <Application>Microsoft Office Word</Application>
  <DocSecurity>0</DocSecurity>
  <Lines>18</Lines>
  <Paragraphs>5</Paragraphs>
  <ScaleCrop>false</ScaleCrop>
  <Company>HUIT</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Sexton</dc:creator>
  <cp:lastModifiedBy>Andrea Sexton</cp:lastModifiedBy>
  <cp:revision>7</cp:revision>
  <cp:lastPrinted>2013-04-03T20:52:00Z</cp:lastPrinted>
  <dcterms:created xsi:type="dcterms:W3CDTF">2013-03-18T16:21:00Z</dcterms:created>
  <dcterms:modified xsi:type="dcterms:W3CDTF">2013-04-03T20:55:00Z</dcterms:modified>
</cp:coreProperties>
</file>