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CF80C" w14:textId="77777777" w:rsidR="00D3782C" w:rsidRPr="002F760F" w:rsidRDefault="00D3782C" w:rsidP="002F760F">
      <w:pPr>
        <w:jc w:val="center"/>
        <w:rPr>
          <w:rFonts w:ascii="Arial" w:hAnsi="Arial" w:cs="Arial"/>
          <w:b/>
          <w:bCs/>
          <w:sz w:val="28"/>
          <w:szCs w:val="28"/>
        </w:rPr>
      </w:pPr>
      <w:r w:rsidRPr="002F760F">
        <w:rPr>
          <w:rFonts w:ascii="Arial" w:hAnsi="Arial" w:cs="Arial"/>
          <w:b/>
          <w:bCs/>
          <w:sz w:val="28"/>
          <w:szCs w:val="28"/>
        </w:rPr>
        <w:t>Appendix E: Detailed Guidance on Funding Procedures</w:t>
      </w:r>
    </w:p>
    <w:p w14:paraId="1DB49AD6" w14:textId="77777777" w:rsidR="00D3782C" w:rsidRPr="00E16399" w:rsidRDefault="00D3782C" w:rsidP="00D3782C">
      <w:pPr>
        <w:rPr>
          <w:sz w:val="12"/>
          <w:szCs w:val="12"/>
        </w:rPr>
      </w:pPr>
      <w:r w:rsidRPr="00E16399">
        <w:rPr>
          <w:noProof/>
          <w:sz w:val="12"/>
          <w:szCs w:val="12"/>
        </w:rPr>
        <mc:AlternateContent>
          <mc:Choice Requires="wps">
            <w:drawing>
              <wp:anchor distT="0" distB="0" distL="114300" distR="114300" simplePos="0" relativeHeight="251665408" behindDoc="0" locked="0" layoutInCell="1" allowOverlap="1" wp14:anchorId="0E5D757B" wp14:editId="3270AA0E">
                <wp:simplePos x="0" y="0"/>
                <wp:positionH relativeFrom="column">
                  <wp:posOffset>31750</wp:posOffset>
                </wp:positionH>
                <wp:positionV relativeFrom="paragraph">
                  <wp:posOffset>38100</wp:posOffset>
                </wp:positionV>
                <wp:extent cx="5924550" cy="0"/>
                <wp:effectExtent l="0" t="0" r="0" b="0"/>
                <wp:wrapNone/>
                <wp:docPr id="2013555822"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24550" cy="0"/>
                        </a:xfrm>
                        <a:prstGeom prst="line">
                          <a:avLst/>
                        </a:prstGeom>
                        <a:ln w="19050"/>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78AC56D8" id="Straight Connector 1" o:spid="_x0000_s1026" alt="&quot;&quot;"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5pt,3pt" to="46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" strokecolor="#e97132 [3205]" strokeweight="1.5pt">
                <v:stroke joinstyle="miter"/>
              </v:line>
            </w:pict>
          </mc:Fallback>
        </mc:AlternateContent>
      </w:r>
    </w:p>
    <w:p w14:paraId="34A4B93E" w14:textId="77777777" w:rsidR="00D3782C" w:rsidRPr="00E325F6" w:rsidRDefault="00D3782C" w:rsidP="00D3782C">
      <w:pPr>
        <w:rPr>
          <w:b/>
          <w:bCs/>
        </w:rPr>
      </w:pPr>
      <w:r w:rsidRPr="00E325F6">
        <w:rPr>
          <w:b/>
          <w:bCs/>
        </w:rPr>
        <w:t>Basic rules for funding:</w:t>
      </w:r>
    </w:p>
    <w:p w14:paraId="2E634D86" w14:textId="77777777" w:rsidR="00D3782C" w:rsidRDefault="00D3782C" w:rsidP="00D3782C">
      <w:r w:rsidRPr="00211F87">
        <w:t xml:space="preserve">Acquisitions of facilities and equipment can be either debt-financed or internally funded (e.g., from donor funds, sponsored funds or unrestricted funds). The </w:t>
      </w:r>
      <w:hyperlink r:id="rId11" w:history="1">
        <w:r w:rsidRPr="00211F87">
          <w:rPr>
            <w:rStyle w:val="Hyperlink"/>
            <w:szCs w:val="20"/>
          </w:rPr>
          <w:t>Capital Project Services</w:t>
        </w:r>
      </w:hyperlink>
      <w:r w:rsidRPr="00211F87">
        <w:t xml:space="preserve"> (CAPS) office administers all capital projects, whether debt-financed or internally funded. The accounting for the funding of acquisitions differs depending on how the item is funded and whether it is constructed or purchased; </w:t>
      </w:r>
      <w:r>
        <w:t>for debt-financed projects, schools/units</w:t>
      </w:r>
      <w:r w:rsidRPr="00211F87">
        <w:t xml:space="preserve"> must </w:t>
      </w:r>
      <w:r>
        <w:t>complete the loan information in the CPATH system.</w:t>
      </w:r>
    </w:p>
    <w:p w14:paraId="32A1EAE4" w14:textId="77777777" w:rsidR="00D3782C" w:rsidRPr="00211F87" w:rsidRDefault="00D3782C" w:rsidP="00D3782C">
      <w:r w:rsidRPr="00211F87">
        <w:t xml:space="preserve">CAPS </w:t>
      </w:r>
      <w:proofErr w:type="gramStart"/>
      <w:r w:rsidRPr="00211F87">
        <w:t>does</w:t>
      </w:r>
      <w:proofErr w:type="gramEnd"/>
      <w:r w:rsidRPr="00211F87">
        <w:t xml:space="preserve"> not administer equipment purchases or fabrications unless they are integrated into a capital (i.e., building) project </w:t>
      </w:r>
      <w:proofErr w:type="gramStart"/>
      <w:r w:rsidRPr="00211F87">
        <w:t>as</w:t>
      </w:r>
      <w:proofErr w:type="gramEnd"/>
      <w:r w:rsidRPr="00211F87">
        <w:t xml:space="preserve"> Moveable Furnishings and Equipment (MFE). Equipment purchases or fabrications may also be either debt-financed or internally funded.</w:t>
      </w:r>
      <w:r>
        <w:t xml:space="preserve"> See </w:t>
      </w:r>
      <w:hyperlink w:anchor="Follow_Harvard_Rules_for_Capita" w:history="1">
        <w:r w:rsidRPr="00B84A04">
          <w:rPr>
            <w:rStyle w:val="Hyperlink"/>
            <w:szCs w:val="20"/>
          </w:rPr>
          <w:t>General Rules for Capitalization</w:t>
        </w:r>
      </w:hyperlink>
      <w:r>
        <w:t>.</w:t>
      </w:r>
    </w:p>
    <w:p w14:paraId="08BD052C" w14:textId="77777777" w:rsidR="00D3782C" w:rsidRPr="00E325F6" w:rsidRDefault="00D3782C" w:rsidP="00D3782C">
      <w:pPr>
        <w:rPr>
          <w:b/>
          <w:bCs/>
        </w:rPr>
      </w:pPr>
      <w:r w:rsidRPr="00E325F6">
        <w:rPr>
          <w:b/>
          <w:bCs/>
        </w:rPr>
        <w:t>Buildings:</w:t>
      </w:r>
    </w:p>
    <w:p w14:paraId="567C2261" w14:textId="77777777" w:rsidR="00D3782C" w:rsidRPr="00211F87" w:rsidRDefault="00D3782C" w:rsidP="00D3782C">
      <w:r w:rsidRPr="00211F87">
        <w:t xml:space="preserve">The CAPS Office administers all capital projects and requires </w:t>
      </w:r>
      <w:r>
        <w:t>schools/units</w:t>
      </w:r>
      <w:r w:rsidRPr="00211F87">
        <w:t xml:space="preserve"> to complete and submit the following forms: the Project Proposal (PP), the Construction Authorization (CA), and the Construction Close-Out Request (CCR) and, for debt-financed capital projects, the loan application. All forms are available through the </w:t>
      </w:r>
      <w:hyperlink r:id="rId12">
        <w:r w:rsidRPr="0091335E">
          <w:t>C</w:t>
        </w:r>
        <w:r>
          <w:t>PATH</w:t>
        </w:r>
        <w:r w:rsidRPr="0091335E">
          <w:t xml:space="preserve"> website</w:t>
        </w:r>
        <w:r w:rsidRPr="00211F87">
          <w:t>.</w:t>
        </w:r>
      </w:hyperlink>
      <w:r w:rsidRPr="00211F87">
        <w:t xml:space="preserve"> After the </w:t>
      </w:r>
      <w:r>
        <w:t>school or units</w:t>
      </w:r>
      <w:r w:rsidRPr="00211F87">
        <w:t xml:space="preserve"> submits each form, it is routed through C</w:t>
      </w:r>
      <w:r>
        <w:t>PATH</w:t>
      </w:r>
      <w:r w:rsidRPr="00211F87">
        <w:t xml:space="preserve"> automated workflow for appropriate approvals. The final approved form is then routed to Financial Accounting and Reporting (FAR), which records the required accounting entries.</w:t>
      </w:r>
    </w:p>
    <w:p w14:paraId="733FC252" w14:textId="77777777" w:rsidR="00D3782C" w:rsidRPr="00E325F6" w:rsidRDefault="00D3782C" w:rsidP="00D3782C">
      <w:pPr>
        <w:rPr>
          <w:b/>
          <w:bCs/>
        </w:rPr>
      </w:pPr>
      <w:r w:rsidRPr="00E325F6">
        <w:rPr>
          <w:b/>
          <w:bCs/>
        </w:rPr>
        <w:t xml:space="preserve">Process for </w:t>
      </w:r>
      <w:proofErr w:type="gramStart"/>
      <w:r w:rsidRPr="00E325F6">
        <w:rPr>
          <w:b/>
          <w:bCs/>
        </w:rPr>
        <w:t>Internally-Funded</w:t>
      </w:r>
      <w:proofErr w:type="gramEnd"/>
      <w:r w:rsidRPr="00E325F6">
        <w:rPr>
          <w:b/>
          <w:bCs/>
        </w:rPr>
        <w:t xml:space="preserve"> Capital Projects:</w:t>
      </w:r>
    </w:p>
    <w:p w14:paraId="700EB0E2" w14:textId="77777777" w:rsidR="00D3782C" w:rsidRPr="00F65643" w:rsidRDefault="00D3782C" w:rsidP="00D3782C">
      <w:pPr>
        <w:pStyle w:val="ListParagraph"/>
        <w:numPr>
          <w:ilvl w:val="0"/>
          <w:numId w:val="56"/>
        </w:numPr>
      </w:pPr>
      <w:r w:rsidRPr="00211F87">
        <w:t>Capital Planning at Harvard (CPATH) is an automated, web-based, and centralized system that collects and reports on the University’s annual five-year capital plan</w:t>
      </w:r>
      <w:r>
        <w:t xml:space="preserve"> each fall</w:t>
      </w:r>
      <w:r w:rsidRPr="00211F87">
        <w:t xml:space="preserve">. </w:t>
      </w:r>
      <w:r>
        <w:t xml:space="preserve">Each spring, schools and units submit a one-year capital budget for Corporation authorization. </w:t>
      </w:r>
      <w:r w:rsidRPr="00211F87">
        <w:t>CPATH provides Schools/</w:t>
      </w:r>
      <w:proofErr w:type="gramStart"/>
      <w:r w:rsidRPr="00211F87">
        <w:t>Units</w:t>
      </w:r>
      <w:proofErr w:type="gramEnd"/>
      <w:r w:rsidRPr="00211F87">
        <w:t xml:space="preserve"> the opportunity to manage individual project information in their capital plan portfolio throughout the year. All Capital Projects are entered into CPATH as the first step in the planning and approval processes.</w:t>
      </w:r>
    </w:p>
    <w:p w14:paraId="7EA4B9EB" w14:textId="77777777" w:rsidR="00D3782C" w:rsidRPr="00211F87" w:rsidRDefault="00D3782C" w:rsidP="00D3782C">
      <w:pPr>
        <w:pStyle w:val="ListParagraph"/>
        <w:numPr>
          <w:ilvl w:val="0"/>
          <w:numId w:val="56"/>
        </w:numPr>
      </w:pPr>
      <w:r>
        <w:t>School or unit</w:t>
      </w:r>
      <w:r w:rsidRPr="00211F87">
        <w:t xml:space="preserve"> complete</w:t>
      </w:r>
      <w:r>
        <w:t>s</w:t>
      </w:r>
      <w:r w:rsidRPr="00211F87">
        <w:t xml:space="preserve"> the </w:t>
      </w:r>
      <w:r w:rsidRPr="00B2789E">
        <w:rPr>
          <w:b/>
          <w:bCs/>
        </w:rPr>
        <w:t>Project Proposal (PP) form</w:t>
      </w:r>
      <w:r w:rsidRPr="00211F87">
        <w:t xml:space="preserve"> and </w:t>
      </w:r>
      <w:proofErr w:type="gramStart"/>
      <w:r w:rsidRPr="00211F87">
        <w:t>forward</w:t>
      </w:r>
      <w:proofErr w:type="gramEnd"/>
      <w:r w:rsidRPr="00211F87">
        <w:t xml:space="preserve"> it to CAPS for approval. The </w:t>
      </w:r>
      <w:r>
        <w:t>school or unit</w:t>
      </w:r>
      <w:r w:rsidRPr="00211F87">
        <w:t xml:space="preserve"> </w:t>
      </w:r>
      <w:r>
        <w:t>is assigned</w:t>
      </w:r>
      <w:r w:rsidRPr="00211F87">
        <w:t xml:space="preserve"> a new CIP activity from its available range of CIP activity numbers </w:t>
      </w:r>
      <w:r>
        <w:t>which is</w:t>
      </w:r>
      <w:r w:rsidRPr="00211F87">
        <w:t xml:space="preserve"> include</w:t>
      </w:r>
      <w:r>
        <w:t>d</w:t>
      </w:r>
      <w:r w:rsidRPr="00211F87">
        <w:t xml:space="preserve"> on the PP. Based on the completed and approved</w:t>
      </w:r>
      <w:r w:rsidRPr="0067552E">
        <w:t xml:space="preserve"> PP form</w:t>
      </w:r>
      <w:r w:rsidRPr="00211F87">
        <w:t>, FAR transfers the amount designated as development funds on this form to the new Construction in Progress (CIP)</w:t>
      </w:r>
      <w:r w:rsidRPr="00E325F6">
        <w:rPr>
          <w:spacing w:val="-20"/>
        </w:rPr>
        <w:t xml:space="preserve"> </w:t>
      </w:r>
      <w:r w:rsidRPr="00211F87">
        <w:t>activity.</w:t>
      </w:r>
    </w:p>
    <w:p w14:paraId="107D7B43" w14:textId="77777777" w:rsidR="00D3782C" w:rsidRPr="00211F87" w:rsidRDefault="00D3782C" w:rsidP="00D3782C">
      <w:pPr>
        <w:pStyle w:val="ListParagraph"/>
        <w:numPr>
          <w:ilvl w:val="0"/>
          <w:numId w:val="57"/>
        </w:numPr>
      </w:pPr>
      <w:r w:rsidRPr="00211F87">
        <w:t>For projects under $5 million, development funds are typically up to 20% of the project’s total costs and are intended to cover initial planning and pre-construction</w:t>
      </w:r>
      <w:r w:rsidRPr="00E325F6">
        <w:rPr>
          <w:spacing w:val="-33"/>
        </w:rPr>
        <w:t xml:space="preserve"> </w:t>
      </w:r>
      <w:r w:rsidRPr="00211F87">
        <w:t>expenditures</w:t>
      </w:r>
    </w:p>
    <w:p w14:paraId="38EE7BCD" w14:textId="77777777" w:rsidR="00D3782C" w:rsidRPr="00211F87" w:rsidRDefault="00D3782C" w:rsidP="00D3782C">
      <w:pPr>
        <w:pStyle w:val="ListParagraph"/>
        <w:numPr>
          <w:ilvl w:val="0"/>
          <w:numId w:val="57"/>
        </w:numPr>
      </w:pPr>
      <w:r w:rsidRPr="00211F87">
        <w:t xml:space="preserve">For projects of $5 million </w:t>
      </w:r>
      <w:proofErr w:type="gramStart"/>
      <w:r w:rsidRPr="00211F87">
        <w:t>and</w:t>
      </w:r>
      <w:proofErr w:type="gramEnd"/>
      <w:r w:rsidRPr="00211F87">
        <w:t xml:space="preserve"> more, there are always at least t</w:t>
      </w:r>
      <w:r>
        <w:t>hree</w:t>
      </w:r>
      <w:r w:rsidRPr="00211F87">
        <w:t xml:space="preserve"> transfers for development funds:</w:t>
      </w:r>
    </w:p>
    <w:p w14:paraId="301045BC" w14:textId="77777777" w:rsidR="00D3782C" w:rsidRPr="000C0E88" w:rsidRDefault="00D3782C" w:rsidP="00D3782C">
      <w:pPr>
        <w:pStyle w:val="ListParagraph"/>
        <w:numPr>
          <w:ilvl w:val="1"/>
          <w:numId w:val="57"/>
        </w:numPr>
      </w:pPr>
      <w:r w:rsidRPr="000C0E88">
        <w:t>First, an initial PP for up to the lesser of 4% of total project costs or $1,000,000 for initial funding of a feasibility study</w:t>
      </w:r>
    </w:p>
    <w:p w14:paraId="7B50041A" w14:textId="77777777" w:rsidR="00D3782C" w:rsidRPr="000C0E88" w:rsidRDefault="00D3782C" w:rsidP="00D3782C">
      <w:pPr>
        <w:pStyle w:val="ListParagraph"/>
        <w:numPr>
          <w:ilvl w:val="1"/>
          <w:numId w:val="57"/>
        </w:numPr>
      </w:pPr>
      <w:r w:rsidRPr="000C0E88">
        <w:t>After the initial PP, a revised PP for up to an additional 3% of total project costs for schematic design funding</w:t>
      </w:r>
    </w:p>
    <w:p w14:paraId="47BA4C3C" w14:textId="77777777" w:rsidR="00D3782C" w:rsidRPr="000C0E88" w:rsidRDefault="00D3782C" w:rsidP="00D3782C">
      <w:pPr>
        <w:pStyle w:val="ListParagraph"/>
        <w:numPr>
          <w:ilvl w:val="1"/>
          <w:numId w:val="57"/>
        </w:numPr>
      </w:pPr>
      <w:r w:rsidRPr="000C0E88">
        <w:t>After the revised PP, a second revised PP for up to an additional 12% of total project costs for the remainder of design funding</w:t>
      </w:r>
    </w:p>
    <w:p w14:paraId="510B7E20" w14:textId="77777777" w:rsidR="00D3782C" w:rsidRPr="00211F87" w:rsidRDefault="00D3782C" w:rsidP="00D3782C">
      <w:pPr>
        <w:pStyle w:val="ListParagraph"/>
        <w:numPr>
          <w:ilvl w:val="0"/>
          <w:numId w:val="56"/>
        </w:numPr>
      </w:pPr>
      <w:r>
        <w:lastRenderedPageBreak/>
        <w:t>School or unit</w:t>
      </w:r>
      <w:r w:rsidRPr="00211F87">
        <w:t xml:space="preserve"> must submit the </w:t>
      </w:r>
      <w:r w:rsidRPr="00876DB4">
        <w:t>Construction Authorization (CA) form to CA</w:t>
      </w:r>
      <w:r w:rsidRPr="00211F87">
        <w:t>PS after planning and development have ended, but before beginning construction or making construction-related financial commitments (such as an executed construction contract</w:t>
      </w:r>
      <w:r>
        <w:t xml:space="preserve"> or purchasing long-lead time items</w:t>
      </w:r>
      <w:r w:rsidRPr="00211F87">
        <w:t xml:space="preserve">). FAR transfers the funding to the CIP activity as directed by the CA. </w:t>
      </w:r>
      <w:r>
        <w:t>School/units</w:t>
      </w:r>
      <w:r w:rsidRPr="00211F87">
        <w:t xml:space="preserve"> may submit CAs for partial funding, however, partially funded projects will require a final full CA to completely fund the</w:t>
      </w:r>
      <w:r w:rsidRPr="00E325F6">
        <w:rPr>
          <w:spacing w:val="-11"/>
        </w:rPr>
        <w:t xml:space="preserve"> </w:t>
      </w:r>
      <w:r w:rsidRPr="00211F87">
        <w:t>project.</w:t>
      </w:r>
    </w:p>
    <w:p w14:paraId="40F273C8" w14:textId="77777777" w:rsidR="00D3782C" w:rsidRDefault="00D3782C" w:rsidP="00D3782C">
      <w:pPr>
        <w:pStyle w:val="ListParagraph"/>
        <w:numPr>
          <w:ilvl w:val="0"/>
          <w:numId w:val="56"/>
        </w:numPr>
      </w:pPr>
      <w:r w:rsidRPr="00211F87">
        <w:t xml:space="preserve">At each month-end close, a computer-generated allocation entry reclassifies any overfunding (i.e., funds in CIP plant equity in excess of costs incurred to date on the project) from CIP plant equity to fund 726110, “Balances Designated for CIP.” This reclassification ensures that the balance in CIP plant equity represents only actual investments to date in CIP. The entry is reversed at the </w:t>
      </w:r>
      <w:proofErr w:type="gramStart"/>
      <w:r w:rsidRPr="00211F87">
        <w:t>opening</w:t>
      </w:r>
      <w:proofErr w:type="gramEnd"/>
      <w:r w:rsidRPr="00211F87">
        <w:t xml:space="preserve"> of the subsequent month. This process is repeated until the project’s</w:t>
      </w:r>
      <w:r w:rsidRPr="00E325F6">
        <w:rPr>
          <w:spacing w:val="-21"/>
        </w:rPr>
        <w:t xml:space="preserve"> </w:t>
      </w:r>
      <w:r w:rsidRPr="00211F87">
        <w:t>close.</w:t>
      </w:r>
    </w:p>
    <w:p w14:paraId="3050978C" w14:textId="77777777" w:rsidR="00D3782C" w:rsidRDefault="00D3782C" w:rsidP="00D3782C">
      <w:pPr>
        <w:pStyle w:val="ListParagraph"/>
        <w:numPr>
          <w:ilvl w:val="0"/>
          <w:numId w:val="56"/>
        </w:numPr>
      </w:pPr>
      <w:r w:rsidRPr="00211F87">
        <w:t>Once the project is complete (as defined in</w:t>
      </w:r>
      <w:r>
        <w:t xml:space="preserve"> PPE Policy, </w:t>
      </w:r>
      <w:hyperlink w:anchor="PIS" w:history="1">
        <w:r w:rsidRPr="00E325F6">
          <w:rPr>
            <w:rStyle w:val="Hyperlink"/>
            <w:szCs w:val="20"/>
          </w:rPr>
          <w:t>Section IV</w:t>
        </w:r>
      </w:hyperlink>
      <w:r w:rsidRPr="00211F87">
        <w:t xml:space="preserve">), </w:t>
      </w:r>
      <w:r>
        <w:t>school/units</w:t>
      </w:r>
      <w:r w:rsidRPr="00211F87">
        <w:t xml:space="preserve"> must submit the</w:t>
      </w:r>
      <w:r w:rsidRPr="00876DB4">
        <w:t xml:space="preserve"> Construction Close-Out Request (CCR) form to CAPS, which then </w:t>
      </w:r>
      <w:r w:rsidRPr="00211F87">
        <w:t xml:space="preserve">forwards the form </w:t>
      </w:r>
      <w:proofErr w:type="spellStart"/>
      <w:r w:rsidRPr="00211F87">
        <w:t>to</w:t>
      </w:r>
      <w:proofErr w:type="spellEnd"/>
      <w:r w:rsidRPr="00211F87">
        <w:t xml:space="preserve"> FAR. FAR then transfers all CIP costs to place in service (PIS)</w:t>
      </w:r>
      <w:r>
        <w:t xml:space="preserve"> assets</w:t>
      </w:r>
      <w:r w:rsidRPr="00211F87">
        <w:t>, processes the final entry to close out CIP overfunding or underfunding, as appropriate, and disables the CIP activity number. (See the “Overfunded/underfunded capital projects” section of this</w:t>
      </w:r>
      <w:r w:rsidRPr="00E325F6">
        <w:rPr>
          <w:spacing w:val="-24"/>
        </w:rPr>
        <w:t xml:space="preserve"> </w:t>
      </w:r>
      <w:r w:rsidRPr="00211F87">
        <w:t xml:space="preserve">document.) </w:t>
      </w:r>
    </w:p>
    <w:p w14:paraId="1ED2B22C" w14:textId="77777777" w:rsidR="00D3782C" w:rsidRPr="00E325F6" w:rsidRDefault="00D3782C" w:rsidP="00D3782C">
      <w:pPr>
        <w:rPr>
          <w:b/>
          <w:bCs/>
        </w:rPr>
      </w:pPr>
      <w:r w:rsidRPr="00E325F6">
        <w:rPr>
          <w:b/>
          <w:bCs/>
        </w:rPr>
        <w:t>Process for Debt-Financed Capital Projects:</w:t>
      </w:r>
    </w:p>
    <w:p w14:paraId="140A136F" w14:textId="77777777" w:rsidR="00D3782C" w:rsidRPr="00F27A72" w:rsidRDefault="00D3782C" w:rsidP="00D3782C">
      <w:pPr>
        <w:pStyle w:val="ListParagraph"/>
        <w:numPr>
          <w:ilvl w:val="0"/>
          <w:numId w:val="58"/>
        </w:numPr>
      </w:pPr>
      <w:r>
        <w:t>School/Units</w:t>
      </w:r>
      <w:r w:rsidRPr="00F27A72">
        <w:t xml:space="preserve"> complete the Project Proposal (PP) form and forward it to CAPS for approval. The </w:t>
      </w:r>
      <w:r>
        <w:t>school/unit</w:t>
      </w:r>
      <w:r w:rsidRPr="00F27A72">
        <w:t xml:space="preserve"> </w:t>
      </w:r>
      <w:r>
        <w:t>is assigned</w:t>
      </w:r>
      <w:r w:rsidRPr="00F27A72">
        <w:t xml:space="preserve"> a new CIP activity from its available range of CIP activity numbers </w:t>
      </w:r>
      <w:r>
        <w:t>which is</w:t>
      </w:r>
      <w:r w:rsidRPr="00F27A72">
        <w:t xml:space="preserve"> include</w:t>
      </w:r>
      <w:r>
        <w:t>d</w:t>
      </w:r>
      <w:r w:rsidRPr="00F27A72">
        <w:t xml:space="preserve"> on the PP. Based on the completed and approved PP, FAR enables the new project’s CIP activity and assigns attributes to the new activity number (e.g., the interest rate, type of debt and other debt terms). There </w:t>
      </w:r>
      <w:proofErr w:type="gramStart"/>
      <w:r w:rsidRPr="00F27A72">
        <w:t>are</w:t>
      </w:r>
      <w:proofErr w:type="gramEnd"/>
      <w:r w:rsidRPr="00F27A72">
        <w:t xml:space="preserve"> no accounting entries recorded at this stage for development</w:t>
      </w:r>
      <w:r w:rsidRPr="002305AA">
        <w:rPr>
          <w:spacing w:val="-27"/>
        </w:rPr>
        <w:t xml:space="preserve"> </w:t>
      </w:r>
      <w:r w:rsidRPr="00F27A72">
        <w:t>funds.</w:t>
      </w:r>
    </w:p>
    <w:p w14:paraId="61984DCF" w14:textId="77777777" w:rsidR="00D3782C" w:rsidRPr="00211F87" w:rsidRDefault="00D3782C" w:rsidP="00D3782C">
      <w:pPr>
        <w:pStyle w:val="ListParagraph"/>
        <w:numPr>
          <w:ilvl w:val="0"/>
          <w:numId w:val="58"/>
        </w:numPr>
      </w:pPr>
      <w:r>
        <w:t>School/Units</w:t>
      </w:r>
      <w:r w:rsidRPr="00211F87">
        <w:t xml:space="preserve"> complete the Construction Authorization (CA) form after planning and development have concluded, but before construction begins. FAR records no journal entries at this</w:t>
      </w:r>
      <w:r w:rsidRPr="002305AA">
        <w:rPr>
          <w:spacing w:val="-32"/>
        </w:rPr>
        <w:t xml:space="preserve"> </w:t>
      </w:r>
      <w:r w:rsidRPr="00211F87">
        <w:t>stage.</w:t>
      </w:r>
    </w:p>
    <w:p w14:paraId="2AEDD8CA" w14:textId="77777777" w:rsidR="00D3782C" w:rsidRPr="00211F87" w:rsidRDefault="00D3782C" w:rsidP="00D3782C">
      <w:pPr>
        <w:pStyle w:val="ListParagraph"/>
        <w:numPr>
          <w:ilvl w:val="0"/>
          <w:numId w:val="58"/>
        </w:numPr>
      </w:pPr>
      <w:r w:rsidRPr="00211F87">
        <w:t xml:space="preserve">At each month-end close, the </w:t>
      </w:r>
      <w:r>
        <w:t xml:space="preserve">CIP </w:t>
      </w:r>
      <w:r w:rsidRPr="00211F87">
        <w:t xml:space="preserve">loan is adjusted for the amount of spending incurred to date and interest is charged via monthly computer-generated allocation entries. The loan funding entry </w:t>
      </w:r>
      <w:proofErr w:type="gramStart"/>
      <w:r w:rsidRPr="00211F87">
        <w:t>is</w:t>
      </w:r>
      <w:proofErr w:type="gramEnd"/>
      <w:r w:rsidRPr="00211F87">
        <w:t xml:space="preserve"> reversed at the opening of the subsequent month. This process is repeated until the project’s</w:t>
      </w:r>
      <w:r w:rsidRPr="002305AA">
        <w:rPr>
          <w:spacing w:val="-27"/>
        </w:rPr>
        <w:t xml:space="preserve"> </w:t>
      </w:r>
      <w:r w:rsidRPr="00211F87">
        <w:t>close.</w:t>
      </w:r>
    </w:p>
    <w:p w14:paraId="01A28804" w14:textId="77777777" w:rsidR="00D3782C" w:rsidRPr="00211F87" w:rsidRDefault="00D3782C" w:rsidP="00D3782C">
      <w:pPr>
        <w:pStyle w:val="ListParagraph"/>
        <w:numPr>
          <w:ilvl w:val="0"/>
          <w:numId w:val="58"/>
        </w:numPr>
      </w:pPr>
      <w:r w:rsidRPr="00211F87">
        <w:t>Interest is charged on the amount borrowed each month and is capitalized to the cost of the asset while the project is ongoing through the use of object code 1590, “CIP</w:t>
      </w:r>
      <w:r w:rsidRPr="002305AA">
        <w:rPr>
          <w:spacing w:val="-25"/>
        </w:rPr>
        <w:t xml:space="preserve"> </w:t>
      </w:r>
      <w:r w:rsidRPr="00211F87">
        <w:t>Interest.”</w:t>
      </w:r>
    </w:p>
    <w:p w14:paraId="5348B1A2" w14:textId="77777777" w:rsidR="00D3782C" w:rsidRPr="00211F87" w:rsidRDefault="00D3782C" w:rsidP="00D3782C">
      <w:pPr>
        <w:pStyle w:val="ListParagraph"/>
        <w:numPr>
          <w:ilvl w:val="0"/>
          <w:numId w:val="58"/>
        </w:numPr>
      </w:pPr>
      <w:r w:rsidRPr="00211F87">
        <w:t xml:space="preserve">Once the project is complete (as defined in the </w:t>
      </w:r>
      <w:r>
        <w:t>Property, Plant, &amp; Equipment</w:t>
      </w:r>
      <w:r w:rsidRPr="00211F87">
        <w:t xml:space="preserve"> Accounting Policy), </w:t>
      </w:r>
      <w:r>
        <w:t>school/units</w:t>
      </w:r>
      <w:r w:rsidRPr="00211F87">
        <w:t xml:space="preserve"> must complete</w:t>
      </w:r>
      <w:r>
        <w:t xml:space="preserve"> and send</w:t>
      </w:r>
      <w:r w:rsidRPr="00211F87">
        <w:t xml:space="preserve"> the Construction Close-Out Request (CCR) form to CAPS, which then forwards the form </w:t>
      </w:r>
      <w:proofErr w:type="spellStart"/>
      <w:r w:rsidRPr="00211F87">
        <w:t>to</w:t>
      </w:r>
      <w:proofErr w:type="spellEnd"/>
      <w:r w:rsidRPr="00211F87">
        <w:t xml:space="preserve"> FAR. FAR transfers the CIP costs to PIS and records the internal loan liability</w:t>
      </w:r>
      <w:r>
        <w:t>, if needed,</w:t>
      </w:r>
      <w:r w:rsidRPr="00211F87">
        <w:t xml:space="preserve"> for the total amount of spending</w:t>
      </w:r>
      <w:r w:rsidRPr="002305AA">
        <w:rPr>
          <w:spacing w:val="-7"/>
        </w:rPr>
        <w:t xml:space="preserve"> </w:t>
      </w:r>
      <w:r w:rsidRPr="00211F87">
        <w:t>incurred</w:t>
      </w:r>
      <w:r>
        <w:t>, and transfers equity if necessary</w:t>
      </w:r>
      <w:r w:rsidRPr="00211F87">
        <w:t>.</w:t>
      </w:r>
    </w:p>
    <w:p w14:paraId="16F62A05" w14:textId="7ECAAFBC" w:rsidR="00D3782C" w:rsidRDefault="00D3782C" w:rsidP="00105261">
      <w:pPr>
        <w:ind w:left="360"/>
      </w:pPr>
      <w:r w:rsidRPr="00211F87">
        <w:t xml:space="preserve">When requesting a loan term for a componentized building, </w:t>
      </w:r>
      <w:r>
        <w:t>school/unit</w:t>
      </w:r>
      <w:r w:rsidRPr="00211F87">
        <w:t xml:space="preserve">s should ensure that the loan term does not exceed the weighted average useful life of all components in the project, especially as related to lab projects. The default loan term should not be used if it is not appropriate relative to the asset. </w:t>
      </w:r>
      <w:r>
        <w:t xml:space="preserve">School/units </w:t>
      </w:r>
      <w:r w:rsidRPr="00211F87">
        <w:t xml:space="preserve">will need to calculate the weighted average loan term based on spending in the relevant categories (shell, roof, finishes, fixed equipment, and services) instead of using the </w:t>
      </w:r>
      <w:proofErr w:type="gramStart"/>
      <w:r w:rsidRPr="00211F87">
        <w:t>19 year</w:t>
      </w:r>
      <w:proofErr w:type="gramEnd"/>
      <w:r w:rsidRPr="00211F87">
        <w:t xml:space="preserve"> default if there is </w:t>
      </w:r>
      <w:proofErr w:type="gramStart"/>
      <w:r w:rsidRPr="00211F87">
        <w:t>not</w:t>
      </w:r>
      <w:proofErr w:type="gramEnd"/>
      <w:r w:rsidRPr="00211F87">
        <w:t xml:space="preserve"> spending in all 5 categories or if spending in longer-lived components is significantly less than spending in shorter- lived </w:t>
      </w:r>
      <w:r w:rsidRPr="00211F87">
        <w:lastRenderedPageBreak/>
        <w:t xml:space="preserve">components. See </w:t>
      </w:r>
      <w:hyperlink r:id="rId13">
        <w:r w:rsidRPr="00211F87">
          <w:rPr>
            <w:color w:val="0000FF"/>
            <w:u w:val="single" w:color="0000FF"/>
          </w:rPr>
          <w:t>OTM’s website</w:t>
        </w:r>
        <w:r w:rsidRPr="00211F87">
          <w:rPr>
            <w:color w:val="0000FF"/>
          </w:rPr>
          <w:t xml:space="preserve"> </w:t>
        </w:r>
      </w:hyperlink>
      <w:r w:rsidRPr="00211F87">
        <w:t xml:space="preserve">for helpful information, including a </w:t>
      </w:r>
      <w:hyperlink r:id="rId14">
        <w:r>
          <w:rPr>
            <w:color w:val="0000FF"/>
            <w:u w:val="single" w:color="0000FF"/>
          </w:rPr>
          <w:t>Loan Term Calculator Template</w:t>
        </w:r>
      </w:hyperlink>
      <w:r w:rsidRPr="00211F87">
        <w:t>.</w:t>
      </w:r>
    </w:p>
    <w:p w14:paraId="7CB6B789" w14:textId="77777777" w:rsidR="00D3782C" w:rsidRPr="002305AA" w:rsidRDefault="00D3782C" w:rsidP="00D3782C">
      <w:pPr>
        <w:rPr>
          <w:b/>
          <w:bCs/>
        </w:rPr>
      </w:pPr>
      <w:r w:rsidRPr="002305AA">
        <w:rPr>
          <w:b/>
          <w:bCs/>
        </w:rPr>
        <w:t>Overfunded/underfunded capital projects (internally funded):</w:t>
      </w:r>
    </w:p>
    <w:p w14:paraId="08AC0C0B" w14:textId="77777777" w:rsidR="00D3782C" w:rsidRPr="00211F87" w:rsidRDefault="00D3782C" w:rsidP="00D3782C">
      <w:r w:rsidRPr="00211F87">
        <w:t xml:space="preserve">It is the responsibility of each </w:t>
      </w:r>
      <w:r>
        <w:t>school or unit</w:t>
      </w:r>
      <w:r w:rsidRPr="00211F87">
        <w:t xml:space="preserve"> to monitor the spending and funding status of its capital projects. </w:t>
      </w:r>
      <w:proofErr w:type="gramStart"/>
      <w:r w:rsidRPr="00211F87">
        <w:t>Interest</w:t>
      </w:r>
      <w:proofErr w:type="gramEnd"/>
      <w:r w:rsidRPr="00211F87">
        <w:t xml:space="preserve"> income/expense on overfunded/underfunded projects is credited or charged, respectively, to the project via monthly system generated allocation journal entries.</w:t>
      </w:r>
    </w:p>
    <w:p w14:paraId="4B56AC7B" w14:textId="77777777" w:rsidR="00D3782C" w:rsidRPr="00211F87" w:rsidRDefault="00D3782C" w:rsidP="00D3782C">
      <w:r w:rsidRPr="00211F87">
        <w:rPr>
          <w:u w:val="single"/>
        </w:rPr>
        <w:t>Overfunded projects:</w:t>
      </w:r>
      <w:r w:rsidRPr="00211F87">
        <w:t xml:space="preserve"> Since funding is transferred up-front for capital projects, each project is in a net credit position (i.e., funds available are greater than costs incurred to date on the project) as construction is in progress. Interest is earned on these positive fund balances and credited to object code 4530, “Interest Income, GOA, </w:t>
      </w:r>
      <w:r>
        <w:t>School/unit</w:t>
      </w:r>
      <w:r w:rsidRPr="00211F87">
        <w:t xml:space="preserve"> Net Assets, GENERAL.” At the project’s close, any interest income earned during the course of the project </w:t>
      </w:r>
      <w:proofErr w:type="gramStart"/>
      <w:r w:rsidRPr="00211F87">
        <w:t>is first</w:t>
      </w:r>
      <w:proofErr w:type="gramEnd"/>
      <w:r w:rsidRPr="00211F87">
        <w:t xml:space="preserve"> considered a project funding source. After all project costs have been covered, any remaining funds such as interest earned or funding surpluses are returned to a fund of the </w:t>
      </w:r>
      <w:r>
        <w:t>school or unit’s</w:t>
      </w:r>
      <w:r w:rsidRPr="00211F87">
        <w:t xml:space="preserve"> choosing, as indicated by the </w:t>
      </w:r>
      <w:r>
        <w:t>school or unit</w:t>
      </w:r>
      <w:r w:rsidRPr="00211F87">
        <w:t xml:space="preserve"> on the Construction Close-Out Request. For donor funds, </w:t>
      </w:r>
      <w:r>
        <w:t>the funds MUST go back to the gift fund</w:t>
      </w:r>
      <w:r w:rsidRPr="00211F87">
        <w:t>.</w:t>
      </w:r>
    </w:p>
    <w:p w14:paraId="5723C426" w14:textId="77777777" w:rsidR="00D3782C" w:rsidRPr="00211F87" w:rsidRDefault="00D3782C" w:rsidP="00D3782C">
      <w:r w:rsidRPr="00211F87">
        <w:rPr>
          <w:u w:val="single"/>
        </w:rPr>
        <w:t>Underfunded projects:</w:t>
      </w:r>
      <w:r w:rsidRPr="00211F87">
        <w:t xml:space="preserve"> Projects that are in a deficit position (i.e., total spending on the project exceeds available funding) are charged interest on the deficit fund balances. The interest expense is capitalized to the cost of the asset while the project is ongoing through the use of object code 1590, “CIP</w:t>
      </w:r>
      <w:r w:rsidRPr="00211F87">
        <w:rPr>
          <w:spacing w:val="-34"/>
        </w:rPr>
        <w:t xml:space="preserve"> </w:t>
      </w:r>
      <w:r w:rsidRPr="00211F87">
        <w:t>Interest.”</w:t>
      </w:r>
      <w:r w:rsidRPr="00211F87" w:rsidDel="00A84872">
        <w:t xml:space="preserve"> </w:t>
      </w:r>
      <w:r w:rsidRPr="00211F87">
        <w:t>Once the project is closed, the Construction Close-Out Request must indicate what funding source is to be charged for the remaining project balance.</w:t>
      </w:r>
    </w:p>
    <w:p w14:paraId="1228BB00" w14:textId="77777777" w:rsidR="00D3782C" w:rsidRPr="002305AA" w:rsidRDefault="00D3782C" w:rsidP="00D3782C">
      <w:pPr>
        <w:rPr>
          <w:b/>
          <w:bCs/>
        </w:rPr>
      </w:pPr>
      <w:r w:rsidRPr="002305AA">
        <w:rPr>
          <w:b/>
          <w:bCs/>
        </w:rPr>
        <w:t>Shared capital projects:</w:t>
      </w:r>
    </w:p>
    <w:p w14:paraId="3F9AB6A2" w14:textId="77777777" w:rsidR="00D3782C" w:rsidRPr="00211F87" w:rsidRDefault="00D3782C" w:rsidP="00D3782C">
      <w:r w:rsidRPr="00211F87">
        <w:t xml:space="preserve">Some capital projects are funded by more than one </w:t>
      </w:r>
      <w:r>
        <w:t>school/unit</w:t>
      </w:r>
      <w:r w:rsidRPr="00211F87">
        <w:t xml:space="preserve"> (e.g., if two </w:t>
      </w:r>
      <w:r>
        <w:t>school/unit</w:t>
      </w:r>
      <w:r w:rsidRPr="00211F87">
        <w:t xml:space="preserve">s split the cost of a building). In such cases, the </w:t>
      </w:r>
      <w:r>
        <w:t>school/unit</w:t>
      </w:r>
      <w:r w:rsidRPr="00211F87">
        <w:t xml:space="preserve">s must agree prior to the start of the project which </w:t>
      </w:r>
      <w:r>
        <w:t>school/unit</w:t>
      </w:r>
      <w:r w:rsidRPr="00211F87">
        <w:t xml:space="preserve"> will have the asset on its balance sheet (the owning </w:t>
      </w:r>
      <w:r>
        <w:t>school/unit</w:t>
      </w:r>
      <w:proofErr w:type="gramStart"/>
      <w:r w:rsidRPr="00211F87">
        <w:t>)</w:t>
      </w:r>
      <w:proofErr w:type="gramEnd"/>
      <w:r w:rsidRPr="00211F87">
        <w:t xml:space="preserve"> and which </w:t>
      </w:r>
      <w:r>
        <w:t>school/unit</w:t>
      </w:r>
      <w:r w:rsidRPr="00211F87">
        <w:t xml:space="preserve"> will fund the project but will NOT have the asset on its balance sheet (the supporting </w:t>
      </w:r>
      <w:r>
        <w:t>school/unit</w:t>
      </w:r>
      <w:r w:rsidRPr="00211F87">
        <w:t xml:space="preserve">). Assets </w:t>
      </w:r>
      <w:r w:rsidRPr="00211F87">
        <w:rPr>
          <w:u w:val="single"/>
        </w:rPr>
        <w:t>cannot</w:t>
      </w:r>
      <w:r w:rsidRPr="00211F87">
        <w:t xml:space="preserve"> be split between </w:t>
      </w:r>
      <w:r>
        <w:t>school/unit</w:t>
      </w:r>
      <w:r w:rsidRPr="00211F87">
        <w:t xml:space="preserve"> balance sheets. If the project is debt-financed, the loan follows the asset and will be recorded on the owning </w:t>
      </w:r>
      <w:r>
        <w:t>school/unit</w:t>
      </w:r>
      <w:r w:rsidRPr="00211F87">
        <w:t xml:space="preserve">’s balance sheet along with the asset. The plant equity also follows the asset and is recorded on the owning </w:t>
      </w:r>
      <w:r>
        <w:t>school/unit</w:t>
      </w:r>
      <w:r w:rsidRPr="00211F87">
        <w:t xml:space="preserve">’s balance sheet. If the supporting </w:t>
      </w:r>
      <w:r>
        <w:t>school/unit</w:t>
      </w:r>
      <w:r w:rsidRPr="00211F87">
        <w:t xml:space="preserve"> is debt-financing the project, an inter</w:t>
      </w:r>
      <w:r>
        <w:t>school/unit</w:t>
      </w:r>
      <w:r w:rsidRPr="00211F87">
        <w:t xml:space="preserve"> loan is recorded in object code 3062, “CO^INTER</w:t>
      </w:r>
      <w:r>
        <w:t xml:space="preserve">TUB debt obligation, PIS, Other.” </w:t>
      </w:r>
      <w:r w:rsidRPr="00211F87">
        <w:t xml:space="preserve">As a result, the loan is appropriately reflected on the supporting </w:t>
      </w:r>
      <w:r>
        <w:t>school/unit</w:t>
      </w:r>
      <w:r w:rsidRPr="00211F87">
        <w:t>’s balance sheet. OTM records the loan and inter</w:t>
      </w:r>
      <w:r>
        <w:t>school/unit</w:t>
      </w:r>
      <w:r w:rsidRPr="00211F87">
        <w:t xml:space="preserve"> debt obligation.</w:t>
      </w:r>
    </w:p>
    <w:p w14:paraId="2D5D3134" w14:textId="77777777" w:rsidR="00D3782C" w:rsidRPr="002305AA" w:rsidRDefault="00D3782C" w:rsidP="00D3782C">
      <w:pPr>
        <w:rPr>
          <w:b/>
          <w:bCs/>
        </w:rPr>
      </w:pPr>
      <w:r w:rsidRPr="002305AA">
        <w:rPr>
          <w:b/>
          <w:bCs/>
        </w:rPr>
        <w:t>Capital projects with sponsored funding:</w:t>
      </w:r>
    </w:p>
    <w:p w14:paraId="6B357540" w14:textId="77777777" w:rsidR="00D3782C" w:rsidRPr="001A24B2" w:rsidRDefault="00D3782C" w:rsidP="00D3782C">
      <w:r w:rsidRPr="00211F87">
        <w:t xml:space="preserve">Rarely, </w:t>
      </w:r>
      <w:r>
        <w:t>school/unit</w:t>
      </w:r>
      <w:r w:rsidRPr="00211F87">
        <w:t xml:space="preserve">s may receive sponsored funding for a capital project. Due to the complex process required to properly capture and report these costs, </w:t>
      </w:r>
      <w:r>
        <w:t>school/unit</w:t>
      </w:r>
      <w:r w:rsidRPr="00211F87">
        <w:t>s must notify FAR and OSP as soon as possible. Accounting for these projects requires manual adjustments between Oracle Fixed Assets and the sponsored award.</w:t>
      </w:r>
    </w:p>
    <w:p w14:paraId="7CDFFE86" w14:textId="77777777" w:rsidR="00D3782C" w:rsidRPr="002305AA" w:rsidRDefault="00D3782C" w:rsidP="00D3782C">
      <w:pPr>
        <w:rPr>
          <w:b/>
          <w:bCs/>
        </w:rPr>
      </w:pPr>
      <w:r w:rsidRPr="002305AA">
        <w:rPr>
          <w:b/>
          <w:bCs/>
        </w:rPr>
        <w:t>Interschool/unit leasehold/tenant improvements:</w:t>
      </w:r>
    </w:p>
    <w:p w14:paraId="4B3925BA" w14:textId="748802A8" w:rsidR="00D3782C" w:rsidRDefault="00D3782C" w:rsidP="000753D9">
      <w:pPr>
        <w:rPr>
          <w:b/>
          <w:bCs/>
        </w:rPr>
      </w:pPr>
      <w:r w:rsidRPr="00211F87">
        <w:t xml:space="preserve">In the case of leasehold/tenant improvements where one </w:t>
      </w:r>
      <w:r>
        <w:t>school/unit</w:t>
      </w:r>
      <w:r w:rsidRPr="00211F87">
        <w:t xml:space="preserve"> owns the underlying asset (the building) and another </w:t>
      </w:r>
      <w:r>
        <w:t>school/unit</w:t>
      </w:r>
      <w:r w:rsidRPr="00211F87">
        <w:t xml:space="preserve"> is paying for improvements to the space, the assets are recorded on the balance sheet of the </w:t>
      </w:r>
      <w:r>
        <w:t>school/unit</w:t>
      </w:r>
      <w:r w:rsidRPr="00211F87">
        <w:t xml:space="preserve"> paying for the improvements, through the use of object code 1240, “Capital Leasehold Improvements.” The </w:t>
      </w:r>
      <w:r>
        <w:t>school/unit</w:t>
      </w:r>
      <w:r w:rsidRPr="00211F87">
        <w:t xml:space="preserve"> paying for the improvements must also open the CIP activity in their range of values. For example, if FAS is paying for leasehold/tenant improvements in a building that is owned by HRES, these improvements </w:t>
      </w:r>
      <w:r w:rsidRPr="00211F87">
        <w:lastRenderedPageBreak/>
        <w:t>would be recorded on the FAS balance sheet as Capital Leasehold Improvements, and FAS would select the activity from their range of CIP activities.</w:t>
      </w:r>
    </w:p>
    <w:p w14:paraId="6A693978" w14:textId="77777777" w:rsidR="00D3782C" w:rsidRPr="002305AA" w:rsidRDefault="00D3782C" w:rsidP="00D3782C">
      <w:pPr>
        <w:rPr>
          <w:b/>
          <w:bCs/>
        </w:rPr>
      </w:pPr>
      <w:r w:rsidRPr="002305AA">
        <w:rPr>
          <w:b/>
          <w:bCs/>
        </w:rPr>
        <w:t>Interim funding changes:</w:t>
      </w:r>
    </w:p>
    <w:p w14:paraId="61CE95D2" w14:textId="77777777" w:rsidR="00D3782C" w:rsidRPr="00211F87" w:rsidRDefault="00D3782C" w:rsidP="00D3782C">
      <w:r w:rsidRPr="00211F87">
        <w:t xml:space="preserve">If the funding source changes over the course of a capital project, </w:t>
      </w:r>
      <w:r>
        <w:t>school/unit</w:t>
      </w:r>
      <w:r w:rsidRPr="00211F87">
        <w:t xml:space="preserve">s must submit a revised </w:t>
      </w:r>
      <w:r>
        <w:t>PP</w:t>
      </w:r>
      <w:r w:rsidRPr="00211F87">
        <w:t xml:space="preserve"> or </w:t>
      </w:r>
      <w:r>
        <w:t>CA</w:t>
      </w:r>
      <w:r w:rsidRPr="00211F87">
        <w:t xml:space="preserve"> form through the C</w:t>
      </w:r>
      <w:r>
        <w:t>PATH</w:t>
      </w:r>
      <w:r w:rsidRPr="00211F87">
        <w:t xml:space="preserve"> system. FAR will make the necessary funding transfers and revisions as indicated on the revised PP or CA. If the project is debt-financed and changes are made to the amount of borrowing, </w:t>
      </w:r>
      <w:r>
        <w:t>school/unit</w:t>
      </w:r>
      <w:r w:rsidRPr="00211F87">
        <w:t>s must submit a revised loan application to OTM for approval.</w:t>
      </w:r>
    </w:p>
    <w:p w14:paraId="4D568257" w14:textId="77777777" w:rsidR="00D3782C" w:rsidRPr="002305AA" w:rsidRDefault="00D3782C" w:rsidP="00D3782C">
      <w:pPr>
        <w:rPr>
          <w:b/>
          <w:bCs/>
        </w:rPr>
      </w:pPr>
      <w:r w:rsidRPr="002305AA">
        <w:rPr>
          <w:b/>
          <w:bCs/>
        </w:rPr>
        <w:t>Post-close funding and projects expecting future gifts:</w:t>
      </w:r>
    </w:p>
    <w:p w14:paraId="0AD31069" w14:textId="77777777" w:rsidR="00D3782C" w:rsidRPr="002305AA" w:rsidRDefault="00D3782C" w:rsidP="00D3782C">
      <w:r w:rsidRPr="00211F87">
        <w:t xml:space="preserve">Capital projects can only be funded with actual gift receipts; pledges cannot be used to fund capital projects. Pledge payments received after a construction project is closed may in some cases be applied to an outstanding loan balance with the approval of both OTM and </w:t>
      </w:r>
      <w:r>
        <w:t>ADS.</w:t>
      </w:r>
      <w:r w:rsidRPr="00211F87">
        <w:t xml:space="preserve"> If tax-exempt debt has been used to fund the acquisition/project, additional complexity exists in replacing the debt, and changing the funding source may not be feasible. Pledge payments received after a funded project is closed may be credited to the fund that was charged for the project with RSO approval. </w:t>
      </w:r>
      <w:r>
        <w:t>School/unit</w:t>
      </w:r>
      <w:r w:rsidRPr="00211F87">
        <w:t>s are responsible for monitoring bridge funding and for making the accounting entries needed to repay funds that provided initial funding.</w:t>
      </w:r>
    </w:p>
    <w:p w14:paraId="5E294696" w14:textId="77777777" w:rsidR="00D3782C" w:rsidRPr="002305AA" w:rsidRDefault="00D3782C" w:rsidP="00D3782C">
      <w:pPr>
        <w:rPr>
          <w:b/>
          <w:bCs/>
        </w:rPr>
      </w:pPr>
      <w:r w:rsidRPr="002305AA">
        <w:rPr>
          <w:b/>
          <w:bCs/>
        </w:rPr>
        <w:t>Plant and equipment equity accounting:</w:t>
      </w:r>
    </w:p>
    <w:p w14:paraId="7085DC67" w14:textId="77777777" w:rsidR="00D3782C" w:rsidRDefault="00D3782C" w:rsidP="00D3782C">
      <w:r>
        <w:t xml:space="preserve">The University maintains separate sets of accounts that hold the assets, liabilities and net assets related to plant (facilities) and equipment. Plant/equipment assets minus plant/equipment liabilities must equal plant/equipment net assets; this ensures that all investments in plant/equipment are either debt financed or funded. FAR verifies </w:t>
      </w:r>
      <w:proofErr w:type="gramStart"/>
      <w:r>
        <w:t>each month that these accounts are in balance</w:t>
      </w:r>
      <w:proofErr w:type="gramEnd"/>
      <w:r>
        <w:t>. Plant/equipment net assets are also collectively referred to as “plant/equipment equity.” As assets are acquired, they are debited to the plant and equipment asset object codes.</w:t>
      </w:r>
    </w:p>
    <w:p w14:paraId="5A655B8B" w14:textId="77777777" w:rsidR="00D3782C" w:rsidRPr="00FB717D" w:rsidRDefault="00D3782C" w:rsidP="00D3782C">
      <w:r>
        <w:t>Plant liabilities and/or net assets related to these plant assets must then be credited, so that the set of accounts remains in balance.</w:t>
      </w:r>
    </w:p>
    <w:p w14:paraId="7D75D4B6" w14:textId="77777777" w:rsidR="00D3782C" w:rsidRPr="00FB717D" w:rsidRDefault="00D3782C" w:rsidP="00D3782C">
      <w:r>
        <w:t>Where an asset acquisition is funded from net assets (i.e., not debt-financed), a transfer must be recorded charging a school/unit’s operating funds and crediting the school/unit’s plant/equipment net assets. This entry is recorded monthly via a mass allocation process.</w:t>
      </w:r>
    </w:p>
    <w:p w14:paraId="2C6E3591" w14:textId="77777777" w:rsidR="00D3782C" w:rsidRDefault="00D3782C" w:rsidP="00D3782C">
      <w:r>
        <w:t xml:space="preserve">For items that are debt-financed, plant/equipment debt equivalent to the plant/equipment assets is recorded on the school/unit’s balance sheet. As the debt principal is repaid throughout the life of the loan, an equivalent amount is transferred from the school/unit’s operating funds to the school/unit’s plant/equipment equity. Where debt is used to fund an asset acquisition, the Office of Treasury Management (OTM) records the appropriate funding entries. </w:t>
      </w:r>
    </w:p>
    <w:p w14:paraId="1B09C170" w14:textId="77777777" w:rsidR="00D3782C" w:rsidRDefault="00D3782C" w:rsidP="00D3782C">
      <w:r>
        <w:t>As assets are depreciated, the charge for depreciation expense is recorded in the plant/equipment set of accounts as a charge to plant/equipment equity, with an offsetting credit to accumulated depreciation.</w:t>
      </w:r>
    </w:p>
    <w:p w14:paraId="4432E612" w14:textId="77777777" w:rsidR="008A1EA9" w:rsidRDefault="008A1EA9" w:rsidP="001D13AD">
      <w:pPr>
        <w:jc w:val="center"/>
      </w:pPr>
    </w:p>
    <w:sectPr w:rsidR="008A1EA9" w:rsidSect="00590CDC">
      <w:headerReference w:type="even" r:id="rId15"/>
      <w:headerReference w:type="default" r:id="rId16"/>
      <w:footerReference w:type="even" r:id="rId17"/>
      <w:footerReference w:type="default" r:id="rId18"/>
      <w:headerReference w:type="first" r:id="rId19"/>
      <w:footerReference w:type="first" r:id="rId20"/>
      <w:pgSz w:w="12240" w:h="15840" w:code="1"/>
      <w:pgMar w:top="1440" w:right="1440" w:bottom="1008" w:left="1440" w:header="432"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F13FD" w14:textId="77777777" w:rsidR="0070456D" w:rsidRDefault="0070456D">
      <w:pPr>
        <w:spacing w:after="0" w:line="240" w:lineRule="auto"/>
      </w:pPr>
      <w:r>
        <w:separator/>
      </w:r>
    </w:p>
  </w:endnote>
  <w:endnote w:type="continuationSeparator" w:id="0">
    <w:p w14:paraId="1DDC0DC9" w14:textId="77777777" w:rsidR="0070456D" w:rsidRDefault="00704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EA8C1" w14:textId="77777777" w:rsidR="00590CDC" w:rsidRDefault="00590C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71948"/>
      <w:docPartObj>
        <w:docPartGallery w:val="Page Numbers (Top of Page)"/>
        <w:docPartUnique/>
      </w:docPartObj>
    </w:sdtPr>
    <w:sdtEndPr/>
    <w:sdtContent>
      <w:p w14:paraId="42DF7A8A" w14:textId="77777777" w:rsidR="00DF5ABA" w:rsidRDefault="002636FA" w:rsidP="008B4186">
        <w:pPr>
          <w:pStyle w:val="Footer"/>
          <w:jc w:val="center"/>
        </w:pPr>
        <w:r w:rsidRPr="00146AD1">
          <w:rPr>
            <w:rFonts w:ascii="Arial" w:hAnsi="Arial" w:cs="Arial"/>
            <w:sz w:val="20"/>
            <w:szCs w:val="20"/>
          </w:rPr>
          <w:t xml:space="preserve">Page </w:t>
        </w:r>
        <w:r w:rsidRPr="008B4186">
          <w:rPr>
            <w:rFonts w:ascii="Arial" w:hAnsi="Arial" w:cs="Arial"/>
            <w:sz w:val="20"/>
            <w:szCs w:val="20"/>
          </w:rPr>
          <w:fldChar w:fldCharType="begin"/>
        </w:r>
        <w:r w:rsidRPr="008B4186">
          <w:rPr>
            <w:rFonts w:ascii="Arial" w:hAnsi="Arial" w:cs="Arial"/>
            <w:sz w:val="20"/>
            <w:szCs w:val="20"/>
          </w:rPr>
          <w:instrText xml:space="preserve"> PAGE </w:instrText>
        </w:r>
        <w:r w:rsidRPr="008B4186">
          <w:rPr>
            <w:rFonts w:ascii="Arial" w:hAnsi="Arial" w:cs="Arial"/>
            <w:sz w:val="20"/>
            <w:szCs w:val="20"/>
          </w:rPr>
          <w:fldChar w:fldCharType="separate"/>
        </w:r>
        <w:r>
          <w:rPr>
            <w:rFonts w:ascii="Arial" w:hAnsi="Arial" w:cs="Arial"/>
            <w:sz w:val="20"/>
            <w:szCs w:val="20"/>
          </w:rPr>
          <w:t>49</w:t>
        </w:r>
        <w:r w:rsidRPr="008B4186">
          <w:rPr>
            <w:rFonts w:ascii="Arial" w:hAnsi="Arial" w:cs="Arial"/>
            <w:sz w:val="20"/>
            <w:szCs w:val="20"/>
          </w:rPr>
          <w:fldChar w:fldCharType="end"/>
        </w:r>
        <w:r w:rsidRPr="00146AD1">
          <w:rPr>
            <w:rFonts w:ascii="Arial" w:hAnsi="Arial" w:cs="Arial"/>
            <w:sz w:val="20"/>
            <w:szCs w:val="20"/>
          </w:rPr>
          <w:t xml:space="preserve"> of </w:t>
        </w:r>
        <w:r w:rsidRPr="008B4186">
          <w:rPr>
            <w:rFonts w:ascii="Arial" w:hAnsi="Arial" w:cs="Arial"/>
            <w:sz w:val="20"/>
            <w:szCs w:val="20"/>
          </w:rPr>
          <w:fldChar w:fldCharType="begin"/>
        </w:r>
        <w:r w:rsidRPr="008B4186">
          <w:rPr>
            <w:rFonts w:ascii="Arial" w:hAnsi="Arial" w:cs="Arial"/>
            <w:sz w:val="20"/>
            <w:szCs w:val="20"/>
          </w:rPr>
          <w:instrText xml:space="preserve"> NUMPAGES  </w:instrText>
        </w:r>
        <w:r w:rsidRPr="008B4186">
          <w:rPr>
            <w:rFonts w:ascii="Arial" w:hAnsi="Arial" w:cs="Arial"/>
            <w:sz w:val="20"/>
            <w:szCs w:val="20"/>
          </w:rPr>
          <w:fldChar w:fldCharType="separate"/>
        </w:r>
        <w:r>
          <w:rPr>
            <w:rFonts w:ascii="Arial" w:hAnsi="Arial" w:cs="Arial"/>
            <w:sz w:val="20"/>
            <w:szCs w:val="20"/>
          </w:rPr>
          <w:t>52</w:t>
        </w:r>
        <w:r w:rsidRPr="008B4186">
          <w:rPr>
            <w:rFonts w:ascii="Arial" w:hAnsi="Arial" w:cs="Arial"/>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23DCA" w14:textId="77777777" w:rsidR="00590CDC" w:rsidRDefault="00590C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57546" w14:textId="77777777" w:rsidR="0070456D" w:rsidRDefault="0070456D">
      <w:pPr>
        <w:spacing w:after="0" w:line="240" w:lineRule="auto"/>
      </w:pPr>
      <w:r>
        <w:separator/>
      </w:r>
    </w:p>
  </w:footnote>
  <w:footnote w:type="continuationSeparator" w:id="0">
    <w:p w14:paraId="37E0FADD" w14:textId="77777777" w:rsidR="0070456D" w:rsidRDefault="007045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B4D9F" w14:textId="77777777" w:rsidR="00590CDC" w:rsidRDefault="00590C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7615B" w14:textId="77777777" w:rsidR="001D13AD" w:rsidRPr="0082166F" w:rsidRDefault="001D13AD" w:rsidP="001D13AD">
    <w:pPr>
      <w:pStyle w:val="Default"/>
      <w:jc w:val="right"/>
      <w:rPr>
        <w:sz w:val="20"/>
        <w:szCs w:val="20"/>
      </w:rPr>
    </w:pPr>
    <w:r w:rsidRPr="0082166F">
      <w:rPr>
        <w:sz w:val="20"/>
        <w:szCs w:val="20"/>
      </w:rPr>
      <w:t>Financial Management of Property, Plant and Equipment</w:t>
    </w:r>
  </w:p>
  <w:p w14:paraId="19FE9915" w14:textId="77777777" w:rsidR="001D13AD" w:rsidRPr="0082166F" w:rsidRDefault="001D13AD" w:rsidP="001D13AD">
    <w:pPr>
      <w:pStyle w:val="Default"/>
      <w:jc w:val="right"/>
      <w:rPr>
        <w:sz w:val="20"/>
        <w:szCs w:val="20"/>
      </w:rPr>
    </w:pPr>
    <w:r w:rsidRPr="0082166F">
      <w:rPr>
        <w:sz w:val="20"/>
        <w:szCs w:val="20"/>
      </w:rPr>
      <w:tab/>
      <w:t>Revision Date: 07/01/2025</w:t>
    </w:r>
  </w:p>
  <w:p w14:paraId="574376DF" w14:textId="77777777" w:rsidR="001D13AD" w:rsidRPr="0082166F" w:rsidRDefault="001D13AD" w:rsidP="001D13AD">
    <w:pPr>
      <w:pStyle w:val="Default"/>
      <w:jc w:val="right"/>
      <w:rPr>
        <w:sz w:val="20"/>
        <w:szCs w:val="20"/>
      </w:rPr>
    </w:pPr>
    <w:r w:rsidRPr="0082166F">
      <w:rPr>
        <w:sz w:val="20"/>
        <w:szCs w:val="20"/>
      </w:rPr>
      <w:t>http://policies.fad.harvard.edu</w:t>
    </w:r>
  </w:p>
  <w:p w14:paraId="5F1C5812" w14:textId="77777777" w:rsidR="001D13AD" w:rsidRDefault="001D13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21DA3" w14:textId="77777777" w:rsidR="00590CDC" w:rsidRDefault="00590C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1058"/>
    <w:multiLevelType w:val="hybridMultilevel"/>
    <w:tmpl w:val="10E0A344"/>
    <w:lvl w:ilvl="0" w:tplc="D3A4D08E">
      <w:start w:val="1"/>
      <w:numFmt w:val="lowerLetter"/>
      <w:pStyle w:val="Levela"/>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1C217CF"/>
    <w:multiLevelType w:val="hybridMultilevel"/>
    <w:tmpl w:val="236C36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44B6AFD"/>
    <w:multiLevelType w:val="hybridMultilevel"/>
    <w:tmpl w:val="593CAF34"/>
    <w:lvl w:ilvl="0" w:tplc="E79E1F2C">
      <w:start w:val="1"/>
      <w:numFmt w:val="decimal"/>
      <w:pStyle w:val="Level1"/>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5DF7EA8"/>
    <w:multiLevelType w:val="hybridMultilevel"/>
    <w:tmpl w:val="6AF83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197541"/>
    <w:multiLevelType w:val="hybridMultilevel"/>
    <w:tmpl w:val="0F72D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EB489F"/>
    <w:multiLevelType w:val="hybridMultilevel"/>
    <w:tmpl w:val="64E4DAD2"/>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6" w15:restartNumberingAfterBreak="0">
    <w:nsid w:val="11F22484"/>
    <w:multiLevelType w:val="hybridMultilevel"/>
    <w:tmpl w:val="0D062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9510A0"/>
    <w:multiLevelType w:val="hybridMultilevel"/>
    <w:tmpl w:val="13B8C5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9A176BC"/>
    <w:multiLevelType w:val="hybridMultilevel"/>
    <w:tmpl w:val="DDBE6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0A7B6A"/>
    <w:multiLevelType w:val="hybridMultilevel"/>
    <w:tmpl w:val="21FC4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9A130F"/>
    <w:multiLevelType w:val="hybridMultilevel"/>
    <w:tmpl w:val="9DD2F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8357D8"/>
    <w:multiLevelType w:val="multilevel"/>
    <w:tmpl w:val="93B6276C"/>
    <w:styleLink w:val="PolicyStyle"/>
    <w:lvl w:ilvl="0">
      <w:start w:val="1"/>
      <w:numFmt w:val="upperRoman"/>
      <w:lvlText w:val="%1)"/>
      <w:lvlJc w:val="left"/>
      <w:pPr>
        <w:ind w:left="360" w:hanging="360"/>
      </w:pPr>
      <w:rPr>
        <w:rFonts w:asciiTheme="minorHAnsi" w:hAnsiTheme="minorHAnsi" w:hint="default"/>
        <w:sz w:val="20"/>
      </w:rPr>
    </w:lvl>
    <w:lvl w:ilvl="1">
      <w:start w:val="1"/>
      <w:numFmt w:val="upperLetter"/>
      <w:lvlText w:val="%2)"/>
      <w:lvlJc w:val="left"/>
      <w:pPr>
        <w:ind w:left="432" w:firstLine="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none"/>
      <w:lvlText w:val="(1.)"/>
      <w:lvlJc w:val="left"/>
      <w:pPr>
        <w:ind w:left="1800" w:hanging="360"/>
      </w:pPr>
      <w:rPr>
        <w:rFonts w:hint="default"/>
      </w:rPr>
    </w:lvl>
    <w:lvl w:ilvl="5">
      <w:start w:val="1"/>
      <w:numFmt w:val="none"/>
      <w:lvlText w:val="(a)"/>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1E61EA6"/>
    <w:multiLevelType w:val="hybridMultilevel"/>
    <w:tmpl w:val="EEF4C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F02817"/>
    <w:multiLevelType w:val="hybridMultilevel"/>
    <w:tmpl w:val="5FEC61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3453B11"/>
    <w:multiLevelType w:val="hybridMultilevel"/>
    <w:tmpl w:val="84DC72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5DD3F66"/>
    <w:multiLevelType w:val="hybridMultilevel"/>
    <w:tmpl w:val="11486E5A"/>
    <w:lvl w:ilvl="0" w:tplc="DE0CF8C6">
      <w:start w:val="1"/>
      <w:numFmt w:val="decimal"/>
      <w:pStyle w:val="Level10"/>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9777FF7"/>
    <w:multiLevelType w:val="hybridMultilevel"/>
    <w:tmpl w:val="152459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2DB37AB2"/>
    <w:multiLevelType w:val="hybridMultilevel"/>
    <w:tmpl w:val="550C0EE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8" w15:restartNumberingAfterBreak="0">
    <w:nsid w:val="2DCC2495"/>
    <w:multiLevelType w:val="hybridMultilevel"/>
    <w:tmpl w:val="4D4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EE1183"/>
    <w:multiLevelType w:val="hybridMultilevel"/>
    <w:tmpl w:val="23AA79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0335F44"/>
    <w:multiLevelType w:val="hybridMultilevel"/>
    <w:tmpl w:val="D722E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A60B58"/>
    <w:multiLevelType w:val="hybridMultilevel"/>
    <w:tmpl w:val="E474F2B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2" w15:restartNumberingAfterBreak="0">
    <w:nsid w:val="332B2500"/>
    <w:multiLevelType w:val="hybridMultilevel"/>
    <w:tmpl w:val="6D3C24F2"/>
    <w:lvl w:ilvl="0" w:tplc="CD82914C">
      <w:start w:val="1"/>
      <w:numFmt w:val="upperRoman"/>
      <w:pStyle w:val="LevelI"/>
      <w:lvlText w:val="%1."/>
      <w:lvlJc w:val="left"/>
      <w:pPr>
        <w:ind w:left="720" w:hanging="720"/>
      </w:pPr>
      <w:rPr>
        <w:color w:val="000000" w:themeColor="text1"/>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4171371"/>
    <w:multiLevelType w:val="hybridMultilevel"/>
    <w:tmpl w:val="08608D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C1D710F"/>
    <w:multiLevelType w:val="hybridMultilevel"/>
    <w:tmpl w:val="5C3009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1F33A69"/>
    <w:multiLevelType w:val="hybridMultilevel"/>
    <w:tmpl w:val="AC780CC0"/>
    <w:lvl w:ilvl="0" w:tplc="7A1E5FC2">
      <w:start w:val="1"/>
      <w:numFmt w:val="upperLetter"/>
      <w:pStyle w:val="LevelA0"/>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3010A9"/>
    <w:multiLevelType w:val="hybridMultilevel"/>
    <w:tmpl w:val="CFB4D2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75A23B1"/>
    <w:multiLevelType w:val="hybridMultilevel"/>
    <w:tmpl w:val="E6366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600BE0"/>
    <w:multiLevelType w:val="hybridMultilevel"/>
    <w:tmpl w:val="72A221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1D37AC7"/>
    <w:multiLevelType w:val="hybridMultilevel"/>
    <w:tmpl w:val="F12CC7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2A503AC"/>
    <w:multiLevelType w:val="hybridMultilevel"/>
    <w:tmpl w:val="38601B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CFD3EC1"/>
    <w:multiLevelType w:val="hybridMultilevel"/>
    <w:tmpl w:val="425C29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D672107"/>
    <w:multiLevelType w:val="hybridMultilevel"/>
    <w:tmpl w:val="49720D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84777105">
    <w:abstractNumId w:val="11"/>
  </w:num>
  <w:num w:numId="2" w16cid:durableId="1220165491">
    <w:abstractNumId w:val="22"/>
  </w:num>
  <w:num w:numId="3" w16cid:durableId="871066562">
    <w:abstractNumId w:val="25"/>
  </w:num>
  <w:num w:numId="4" w16cid:durableId="1968469029">
    <w:abstractNumId w:val="15"/>
  </w:num>
  <w:num w:numId="5" w16cid:durableId="1057439910">
    <w:abstractNumId w:val="0"/>
  </w:num>
  <w:num w:numId="6" w16cid:durableId="1280529577">
    <w:abstractNumId w:val="2"/>
  </w:num>
  <w:num w:numId="7" w16cid:durableId="1892227204">
    <w:abstractNumId w:val="15"/>
    <w:lvlOverride w:ilvl="0">
      <w:startOverride w:val="1"/>
    </w:lvlOverride>
  </w:num>
  <w:num w:numId="8" w16cid:durableId="2076972235">
    <w:abstractNumId w:val="25"/>
    <w:lvlOverride w:ilvl="0">
      <w:startOverride w:val="1"/>
    </w:lvlOverride>
  </w:num>
  <w:num w:numId="9" w16cid:durableId="554050424">
    <w:abstractNumId w:val="15"/>
    <w:lvlOverride w:ilvl="0">
      <w:startOverride w:val="1"/>
    </w:lvlOverride>
  </w:num>
  <w:num w:numId="10" w16cid:durableId="1385447821">
    <w:abstractNumId w:val="15"/>
    <w:lvlOverride w:ilvl="0">
      <w:startOverride w:val="1"/>
    </w:lvlOverride>
  </w:num>
  <w:num w:numId="11" w16cid:durableId="24988690">
    <w:abstractNumId w:val="25"/>
    <w:lvlOverride w:ilvl="0">
      <w:startOverride w:val="1"/>
    </w:lvlOverride>
  </w:num>
  <w:num w:numId="12" w16cid:durableId="1795055505">
    <w:abstractNumId w:val="15"/>
    <w:lvlOverride w:ilvl="0">
      <w:startOverride w:val="1"/>
    </w:lvlOverride>
  </w:num>
  <w:num w:numId="13" w16cid:durableId="1482307041">
    <w:abstractNumId w:val="15"/>
    <w:lvlOverride w:ilvl="0">
      <w:startOverride w:val="1"/>
    </w:lvlOverride>
  </w:num>
  <w:num w:numId="14" w16cid:durableId="1069571043">
    <w:abstractNumId w:val="25"/>
    <w:lvlOverride w:ilvl="0">
      <w:startOverride w:val="1"/>
    </w:lvlOverride>
  </w:num>
  <w:num w:numId="15" w16cid:durableId="929391644">
    <w:abstractNumId w:val="15"/>
    <w:lvlOverride w:ilvl="0">
      <w:startOverride w:val="1"/>
    </w:lvlOverride>
  </w:num>
  <w:num w:numId="16" w16cid:durableId="449130904">
    <w:abstractNumId w:val="25"/>
    <w:lvlOverride w:ilvl="0">
      <w:startOverride w:val="1"/>
    </w:lvlOverride>
  </w:num>
  <w:num w:numId="17" w16cid:durableId="520779065">
    <w:abstractNumId w:val="27"/>
  </w:num>
  <w:num w:numId="18" w16cid:durableId="1102384204">
    <w:abstractNumId w:val="22"/>
    <w:lvlOverride w:ilvl="0">
      <w:startOverride w:val="1"/>
    </w:lvlOverride>
  </w:num>
  <w:num w:numId="19" w16cid:durableId="536821081">
    <w:abstractNumId w:val="25"/>
    <w:lvlOverride w:ilvl="0">
      <w:startOverride w:val="1"/>
    </w:lvlOverride>
  </w:num>
  <w:num w:numId="20" w16cid:durableId="2079666007">
    <w:abstractNumId w:val="25"/>
    <w:lvlOverride w:ilvl="0">
      <w:startOverride w:val="1"/>
    </w:lvlOverride>
  </w:num>
  <w:num w:numId="21" w16cid:durableId="317076401">
    <w:abstractNumId w:val="25"/>
    <w:lvlOverride w:ilvl="0">
      <w:startOverride w:val="1"/>
    </w:lvlOverride>
  </w:num>
  <w:num w:numId="22" w16cid:durableId="745151332">
    <w:abstractNumId w:val="4"/>
  </w:num>
  <w:num w:numId="23" w16cid:durableId="1490367876">
    <w:abstractNumId w:val="22"/>
    <w:lvlOverride w:ilvl="0">
      <w:startOverride w:val="1"/>
    </w:lvlOverride>
  </w:num>
  <w:num w:numId="24" w16cid:durableId="475684842">
    <w:abstractNumId w:val="25"/>
    <w:lvlOverride w:ilvl="0">
      <w:startOverride w:val="1"/>
    </w:lvlOverride>
  </w:num>
  <w:num w:numId="25" w16cid:durableId="1148279185">
    <w:abstractNumId w:val="28"/>
  </w:num>
  <w:num w:numId="26" w16cid:durableId="1956329913">
    <w:abstractNumId w:val="14"/>
  </w:num>
  <w:num w:numId="27" w16cid:durableId="888763965">
    <w:abstractNumId w:val="15"/>
    <w:lvlOverride w:ilvl="0">
      <w:startOverride w:val="1"/>
    </w:lvlOverride>
  </w:num>
  <w:num w:numId="28" w16cid:durableId="1457597222">
    <w:abstractNumId w:val="7"/>
  </w:num>
  <w:num w:numId="29" w16cid:durableId="175273444">
    <w:abstractNumId w:val="15"/>
    <w:lvlOverride w:ilvl="0">
      <w:startOverride w:val="1"/>
    </w:lvlOverride>
  </w:num>
  <w:num w:numId="30" w16cid:durableId="1728870469">
    <w:abstractNumId w:val="0"/>
    <w:lvlOverride w:ilvl="0">
      <w:startOverride w:val="1"/>
    </w:lvlOverride>
  </w:num>
  <w:num w:numId="31" w16cid:durableId="1602952985">
    <w:abstractNumId w:val="26"/>
  </w:num>
  <w:num w:numId="32" w16cid:durableId="216016892">
    <w:abstractNumId w:val="16"/>
  </w:num>
  <w:num w:numId="33" w16cid:durableId="1896233777">
    <w:abstractNumId w:val="1"/>
  </w:num>
  <w:num w:numId="34" w16cid:durableId="1194197772">
    <w:abstractNumId w:val="13"/>
  </w:num>
  <w:num w:numId="35" w16cid:durableId="1469670055">
    <w:abstractNumId w:val="31"/>
  </w:num>
  <w:num w:numId="36" w16cid:durableId="1020473092">
    <w:abstractNumId w:val="15"/>
    <w:lvlOverride w:ilvl="0">
      <w:startOverride w:val="1"/>
    </w:lvlOverride>
  </w:num>
  <w:num w:numId="37" w16cid:durableId="495808750">
    <w:abstractNumId w:val="12"/>
  </w:num>
  <w:num w:numId="38" w16cid:durableId="1014499974">
    <w:abstractNumId w:val="29"/>
  </w:num>
  <w:num w:numId="39" w16cid:durableId="1843427503">
    <w:abstractNumId w:val="23"/>
  </w:num>
  <w:num w:numId="40" w16cid:durableId="1915040487">
    <w:abstractNumId w:val="5"/>
  </w:num>
  <w:num w:numId="41" w16cid:durableId="304433807">
    <w:abstractNumId w:val="25"/>
    <w:lvlOverride w:ilvl="0">
      <w:startOverride w:val="1"/>
    </w:lvlOverride>
  </w:num>
  <w:num w:numId="42" w16cid:durableId="49496786">
    <w:abstractNumId w:val="20"/>
  </w:num>
  <w:num w:numId="43" w16cid:durableId="1815562182">
    <w:abstractNumId w:val="18"/>
  </w:num>
  <w:num w:numId="44" w16cid:durableId="1701008803">
    <w:abstractNumId w:val="10"/>
  </w:num>
  <w:num w:numId="45" w16cid:durableId="1201936182">
    <w:abstractNumId w:val="21"/>
  </w:num>
  <w:num w:numId="46" w16cid:durableId="1080978948">
    <w:abstractNumId w:val="6"/>
  </w:num>
  <w:num w:numId="47" w16cid:durableId="551425065">
    <w:abstractNumId w:val="17"/>
  </w:num>
  <w:num w:numId="48" w16cid:durableId="1693069609">
    <w:abstractNumId w:val="22"/>
    <w:lvlOverride w:ilvl="0">
      <w:startOverride w:val="1"/>
    </w:lvlOverride>
  </w:num>
  <w:num w:numId="49" w16cid:durableId="1781877156">
    <w:abstractNumId w:val="25"/>
    <w:lvlOverride w:ilvl="0">
      <w:startOverride w:val="1"/>
    </w:lvlOverride>
  </w:num>
  <w:num w:numId="50" w16cid:durableId="844397749">
    <w:abstractNumId w:val="15"/>
    <w:lvlOverride w:ilvl="0">
      <w:startOverride w:val="1"/>
    </w:lvlOverride>
  </w:num>
  <w:num w:numId="51" w16cid:durableId="1779328985">
    <w:abstractNumId w:val="0"/>
    <w:lvlOverride w:ilvl="0">
      <w:startOverride w:val="1"/>
    </w:lvlOverride>
  </w:num>
  <w:num w:numId="52" w16cid:durableId="1421950729">
    <w:abstractNumId w:val="15"/>
    <w:lvlOverride w:ilvl="0">
      <w:startOverride w:val="1"/>
    </w:lvlOverride>
  </w:num>
  <w:num w:numId="53" w16cid:durableId="1629125124">
    <w:abstractNumId w:val="19"/>
  </w:num>
  <w:num w:numId="54" w16cid:durableId="21790134">
    <w:abstractNumId w:val="30"/>
  </w:num>
  <w:num w:numId="55" w16cid:durableId="910653976">
    <w:abstractNumId w:val="24"/>
  </w:num>
  <w:num w:numId="56" w16cid:durableId="2127381792">
    <w:abstractNumId w:val="9"/>
  </w:num>
  <w:num w:numId="57" w16cid:durableId="1768505080">
    <w:abstractNumId w:val="32"/>
  </w:num>
  <w:num w:numId="58" w16cid:durableId="1291472320">
    <w:abstractNumId w:val="3"/>
  </w:num>
  <w:num w:numId="59" w16cid:durableId="1129277976">
    <w:abstractNumId w:val="8"/>
  </w:num>
  <w:num w:numId="60" w16cid:durableId="183401241">
    <w:abstractNumId w:val="25"/>
    <w:lvlOverride w:ilvl="0">
      <w:startOverride w:val="1"/>
    </w:lvlOverride>
  </w:num>
  <w:num w:numId="61" w16cid:durableId="1848863624">
    <w:abstractNumId w:val="25"/>
    <w:lvlOverride w:ilvl="0">
      <w:startOverride w:val="1"/>
    </w:lvlOverride>
  </w:num>
  <w:num w:numId="62" w16cid:durableId="665286279">
    <w:abstractNumId w:val="25"/>
  </w:num>
  <w:num w:numId="63" w16cid:durableId="1700353620">
    <w:abstractNumId w:val="25"/>
    <w:lvlOverride w:ilvl="0">
      <w:startOverride w:val="1"/>
    </w:lvlOverride>
  </w:num>
  <w:num w:numId="64" w16cid:durableId="361053324">
    <w:abstractNumId w:val="25"/>
    <w:lvlOverride w:ilvl="0">
      <w:startOverride w:val="1"/>
    </w:lvlOverride>
  </w:num>
  <w:num w:numId="65" w16cid:durableId="1338538335">
    <w:abstractNumId w:val="25"/>
    <w:lvlOverride w:ilvl="0">
      <w:startOverride w:val="1"/>
    </w:lvlOverride>
  </w:num>
  <w:num w:numId="66" w16cid:durableId="1214080163">
    <w:abstractNumId w:val="25"/>
    <w:lvlOverride w:ilvl="0">
      <w:startOverride w:val="1"/>
    </w:lvlOverride>
  </w:num>
  <w:num w:numId="67" w16cid:durableId="493375012">
    <w:abstractNumId w:val="25"/>
    <w:lvlOverride w:ilvl="0">
      <w:startOverride w:val="1"/>
    </w:lvlOverride>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UyoDfZvWrOIZ2ltwBYu2b6TwKkeAVWkmyQZybAtsXbSRAVDi/t3lNQa28NBHXOrSdZOmSf/R1ElP3OReYxquMg==" w:salt="T2aKOfBkTWLvertGoV0N1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82C"/>
    <w:rsid w:val="0002165C"/>
    <w:rsid w:val="00022126"/>
    <w:rsid w:val="00037F04"/>
    <w:rsid w:val="0005649E"/>
    <w:rsid w:val="000753D9"/>
    <w:rsid w:val="00082E7C"/>
    <w:rsid w:val="000B7562"/>
    <w:rsid w:val="000D0D8F"/>
    <w:rsid w:val="000D7E3C"/>
    <w:rsid w:val="000E4355"/>
    <w:rsid w:val="000F56DF"/>
    <w:rsid w:val="00105261"/>
    <w:rsid w:val="00132158"/>
    <w:rsid w:val="00132A4D"/>
    <w:rsid w:val="00142D4E"/>
    <w:rsid w:val="001575D6"/>
    <w:rsid w:val="00166391"/>
    <w:rsid w:val="00173593"/>
    <w:rsid w:val="001950D0"/>
    <w:rsid w:val="001A05AF"/>
    <w:rsid w:val="001A6144"/>
    <w:rsid w:val="001B6F27"/>
    <w:rsid w:val="001C36D1"/>
    <w:rsid w:val="001D13AD"/>
    <w:rsid w:val="001F780F"/>
    <w:rsid w:val="002636FA"/>
    <w:rsid w:val="00281B4C"/>
    <w:rsid w:val="002C135E"/>
    <w:rsid w:val="002C3052"/>
    <w:rsid w:val="002C49E9"/>
    <w:rsid w:val="002D0AD0"/>
    <w:rsid w:val="002F760F"/>
    <w:rsid w:val="00321334"/>
    <w:rsid w:val="00355430"/>
    <w:rsid w:val="003B4189"/>
    <w:rsid w:val="003C6247"/>
    <w:rsid w:val="00402B50"/>
    <w:rsid w:val="00405437"/>
    <w:rsid w:val="00422A1F"/>
    <w:rsid w:val="00434511"/>
    <w:rsid w:val="004436AC"/>
    <w:rsid w:val="0044434E"/>
    <w:rsid w:val="00454E45"/>
    <w:rsid w:val="00464ACB"/>
    <w:rsid w:val="00466ED9"/>
    <w:rsid w:val="004A1838"/>
    <w:rsid w:val="004B12E6"/>
    <w:rsid w:val="004C2615"/>
    <w:rsid w:val="004E0A60"/>
    <w:rsid w:val="0050537C"/>
    <w:rsid w:val="005123B6"/>
    <w:rsid w:val="00554F37"/>
    <w:rsid w:val="00557C62"/>
    <w:rsid w:val="00564D75"/>
    <w:rsid w:val="0058597E"/>
    <w:rsid w:val="00590CDC"/>
    <w:rsid w:val="00591F00"/>
    <w:rsid w:val="00595499"/>
    <w:rsid w:val="005C4546"/>
    <w:rsid w:val="005E60F8"/>
    <w:rsid w:val="00604048"/>
    <w:rsid w:val="0065050E"/>
    <w:rsid w:val="0067441F"/>
    <w:rsid w:val="0068200C"/>
    <w:rsid w:val="00686C4F"/>
    <w:rsid w:val="006A19E0"/>
    <w:rsid w:val="006B2233"/>
    <w:rsid w:val="006B5017"/>
    <w:rsid w:val="006B583C"/>
    <w:rsid w:val="006C669B"/>
    <w:rsid w:val="006D5A92"/>
    <w:rsid w:val="0070456D"/>
    <w:rsid w:val="00710AC7"/>
    <w:rsid w:val="00714D78"/>
    <w:rsid w:val="0075039E"/>
    <w:rsid w:val="00761ECA"/>
    <w:rsid w:val="00785364"/>
    <w:rsid w:val="007A7D74"/>
    <w:rsid w:val="007B75B2"/>
    <w:rsid w:val="007B7892"/>
    <w:rsid w:val="007E7BF9"/>
    <w:rsid w:val="007F2586"/>
    <w:rsid w:val="008103A3"/>
    <w:rsid w:val="00845A2A"/>
    <w:rsid w:val="008518BE"/>
    <w:rsid w:val="00860C07"/>
    <w:rsid w:val="00880B99"/>
    <w:rsid w:val="0089455F"/>
    <w:rsid w:val="00895670"/>
    <w:rsid w:val="008A1EA9"/>
    <w:rsid w:val="008B7CFA"/>
    <w:rsid w:val="008D6C36"/>
    <w:rsid w:val="008F6EB3"/>
    <w:rsid w:val="008F7A10"/>
    <w:rsid w:val="008F7A39"/>
    <w:rsid w:val="0091328E"/>
    <w:rsid w:val="0093420D"/>
    <w:rsid w:val="00942EF2"/>
    <w:rsid w:val="00972F11"/>
    <w:rsid w:val="00983AA0"/>
    <w:rsid w:val="009960CF"/>
    <w:rsid w:val="009B7D48"/>
    <w:rsid w:val="009C13ED"/>
    <w:rsid w:val="009E5DA2"/>
    <w:rsid w:val="009E5EF8"/>
    <w:rsid w:val="00A10FAC"/>
    <w:rsid w:val="00A11EDD"/>
    <w:rsid w:val="00A12726"/>
    <w:rsid w:val="00A52C52"/>
    <w:rsid w:val="00A742C7"/>
    <w:rsid w:val="00A9013C"/>
    <w:rsid w:val="00A9141A"/>
    <w:rsid w:val="00AA31A2"/>
    <w:rsid w:val="00AB2257"/>
    <w:rsid w:val="00AF3D4A"/>
    <w:rsid w:val="00B5547E"/>
    <w:rsid w:val="00B60A4B"/>
    <w:rsid w:val="00B85CE9"/>
    <w:rsid w:val="00BA282B"/>
    <w:rsid w:val="00BB5475"/>
    <w:rsid w:val="00BC786E"/>
    <w:rsid w:val="00C1402B"/>
    <w:rsid w:val="00C216EA"/>
    <w:rsid w:val="00C41EBC"/>
    <w:rsid w:val="00C70B13"/>
    <w:rsid w:val="00CD5510"/>
    <w:rsid w:val="00D3157A"/>
    <w:rsid w:val="00D3782C"/>
    <w:rsid w:val="00D46D85"/>
    <w:rsid w:val="00D81970"/>
    <w:rsid w:val="00D85CA0"/>
    <w:rsid w:val="00D902E7"/>
    <w:rsid w:val="00D972A2"/>
    <w:rsid w:val="00DB71EC"/>
    <w:rsid w:val="00DC1A49"/>
    <w:rsid w:val="00DC3191"/>
    <w:rsid w:val="00DD0A8A"/>
    <w:rsid w:val="00DF5ABA"/>
    <w:rsid w:val="00E12136"/>
    <w:rsid w:val="00E42BE2"/>
    <w:rsid w:val="00E56912"/>
    <w:rsid w:val="00E6323F"/>
    <w:rsid w:val="00E647C6"/>
    <w:rsid w:val="00E814C9"/>
    <w:rsid w:val="00E963C2"/>
    <w:rsid w:val="00E9703F"/>
    <w:rsid w:val="00EA5D43"/>
    <w:rsid w:val="00ED04C6"/>
    <w:rsid w:val="00ED66EF"/>
    <w:rsid w:val="00EE4B55"/>
    <w:rsid w:val="00EE63C4"/>
    <w:rsid w:val="00EF509E"/>
    <w:rsid w:val="00F02514"/>
    <w:rsid w:val="00F31F50"/>
    <w:rsid w:val="00F457A0"/>
    <w:rsid w:val="00F45D76"/>
    <w:rsid w:val="00F929B2"/>
    <w:rsid w:val="00F97343"/>
    <w:rsid w:val="00FA2EB4"/>
    <w:rsid w:val="00FA63F3"/>
    <w:rsid w:val="00FC0A1C"/>
    <w:rsid w:val="00FD3B91"/>
    <w:rsid w:val="00FD4DE2"/>
    <w:rsid w:val="00FD6E1C"/>
    <w:rsid w:val="00FF245B"/>
    <w:rsid w:val="00FF2BF0"/>
    <w:rsid w:val="015D8B31"/>
    <w:rsid w:val="04BC70C2"/>
    <w:rsid w:val="05816E9D"/>
    <w:rsid w:val="0629C7F0"/>
    <w:rsid w:val="06590BD4"/>
    <w:rsid w:val="091AD4BD"/>
    <w:rsid w:val="09B11E3A"/>
    <w:rsid w:val="09BCA8D2"/>
    <w:rsid w:val="12BD4267"/>
    <w:rsid w:val="1302EB9A"/>
    <w:rsid w:val="1356102F"/>
    <w:rsid w:val="1410770F"/>
    <w:rsid w:val="1715B8B8"/>
    <w:rsid w:val="172A15AA"/>
    <w:rsid w:val="1830D158"/>
    <w:rsid w:val="1B3E0584"/>
    <w:rsid w:val="1BEB0EB2"/>
    <w:rsid w:val="1BF36906"/>
    <w:rsid w:val="1D26D097"/>
    <w:rsid w:val="1E740AE1"/>
    <w:rsid w:val="2032B3D6"/>
    <w:rsid w:val="22DA15B0"/>
    <w:rsid w:val="2399A8FC"/>
    <w:rsid w:val="23E0D00C"/>
    <w:rsid w:val="261CCB4D"/>
    <w:rsid w:val="2BCCA63C"/>
    <w:rsid w:val="2CACD74A"/>
    <w:rsid w:val="2E59E374"/>
    <w:rsid w:val="2FE49A21"/>
    <w:rsid w:val="3069C16B"/>
    <w:rsid w:val="313AB3F4"/>
    <w:rsid w:val="33D8210A"/>
    <w:rsid w:val="36798B8A"/>
    <w:rsid w:val="3B0C0F2A"/>
    <w:rsid w:val="3D0FAC2E"/>
    <w:rsid w:val="40E95D44"/>
    <w:rsid w:val="41D35F12"/>
    <w:rsid w:val="47AFD61C"/>
    <w:rsid w:val="489449B3"/>
    <w:rsid w:val="4BFF6A4D"/>
    <w:rsid w:val="4CDBD58D"/>
    <w:rsid w:val="4EBBE016"/>
    <w:rsid w:val="502FE424"/>
    <w:rsid w:val="517824D0"/>
    <w:rsid w:val="52643869"/>
    <w:rsid w:val="532DD268"/>
    <w:rsid w:val="53415DA3"/>
    <w:rsid w:val="536D1697"/>
    <w:rsid w:val="54546DEA"/>
    <w:rsid w:val="5627D7B0"/>
    <w:rsid w:val="5934C6AD"/>
    <w:rsid w:val="598F4A4D"/>
    <w:rsid w:val="5B889656"/>
    <w:rsid w:val="5F463E34"/>
    <w:rsid w:val="608AEB4E"/>
    <w:rsid w:val="60DC7BD3"/>
    <w:rsid w:val="6242A020"/>
    <w:rsid w:val="627DD21F"/>
    <w:rsid w:val="67A4BECD"/>
    <w:rsid w:val="684EC395"/>
    <w:rsid w:val="6997706A"/>
    <w:rsid w:val="6F00A106"/>
    <w:rsid w:val="73E47039"/>
    <w:rsid w:val="7670CC61"/>
    <w:rsid w:val="77C4C048"/>
    <w:rsid w:val="79697A73"/>
    <w:rsid w:val="79B38C56"/>
    <w:rsid w:val="7B6CC6E2"/>
    <w:rsid w:val="7BF1B4B3"/>
    <w:rsid w:val="7CD3A8EB"/>
    <w:rsid w:val="7E1319FE"/>
    <w:rsid w:val="7EEBCE4D"/>
    <w:rsid w:val="7FD54E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F76D6"/>
  <w15:chartTrackingRefBased/>
  <w15:docId w15:val="{F56EDA34-4527-4524-B4B9-25CF95419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82C"/>
    <w:pPr>
      <w:spacing w:after="120" w:line="247" w:lineRule="auto"/>
    </w:pPr>
    <w:rPr>
      <w:kern w:val="0"/>
      <w:sz w:val="22"/>
      <w:szCs w:val="22"/>
      <w14:ligatures w14:val="none"/>
    </w:rPr>
  </w:style>
  <w:style w:type="paragraph" w:styleId="Heading1">
    <w:name w:val="heading 1"/>
    <w:basedOn w:val="Normal"/>
    <w:next w:val="Normal"/>
    <w:link w:val="Heading1Char"/>
    <w:qFormat/>
    <w:rsid w:val="00D378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semiHidden/>
    <w:unhideWhenUsed/>
    <w:qFormat/>
    <w:rsid w:val="00D378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1"/>
    <w:unhideWhenUsed/>
    <w:qFormat/>
    <w:rsid w:val="00D378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1"/>
    <w:unhideWhenUsed/>
    <w:qFormat/>
    <w:rsid w:val="00D378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1"/>
    <w:unhideWhenUsed/>
    <w:qFormat/>
    <w:rsid w:val="00D378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78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78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78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78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78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semiHidden/>
    <w:rsid w:val="00D378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semiHidden/>
    <w:rsid w:val="00D378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1"/>
    <w:rsid w:val="00D378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1"/>
    <w:rsid w:val="00D378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78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78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78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782C"/>
    <w:rPr>
      <w:rFonts w:eastAsiaTheme="majorEastAsia" w:cstheme="majorBidi"/>
      <w:color w:val="272727" w:themeColor="text1" w:themeTint="D8"/>
    </w:rPr>
  </w:style>
  <w:style w:type="paragraph" w:styleId="Title">
    <w:name w:val="Title"/>
    <w:basedOn w:val="Normal"/>
    <w:next w:val="Normal"/>
    <w:link w:val="TitleChar"/>
    <w:qFormat/>
    <w:rsid w:val="00D378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378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D378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D378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782C"/>
    <w:pPr>
      <w:spacing w:before="160"/>
      <w:jc w:val="center"/>
    </w:pPr>
    <w:rPr>
      <w:i/>
      <w:iCs/>
      <w:color w:val="404040" w:themeColor="text1" w:themeTint="BF"/>
    </w:rPr>
  </w:style>
  <w:style w:type="character" w:customStyle="1" w:styleId="QuoteChar">
    <w:name w:val="Quote Char"/>
    <w:basedOn w:val="DefaultParagraphFont"/>
    <w:link w:val="Quote"/>
    <w:uiPriority w:val="29"/>
    <w:rsid w:val="00D3782C"/>
    <w:rPr>
      <w:i/>
      <w:iCs/>
      <w:color w:val="404040" w:themeColor="text1" w:themeTint="BF"/>
    </w:rPr>
  </w:style>
  <w:style w:type="paragraph" w:styleId="ListParagraph">
    <w:name w:val="List Paragraph"/>
    <w:basedOn w:val="Normal"/>
    <w:uiPriority w:val="34"/>
    <w:qFormat/>
    <w:rsid w:val="00D3782C"/>
    <w:pPr>
      <w:ind w:left="720"/>
      <w:contextualSpacing/>
    </w:pPr>
  </w:style>
  <w:style w:type="character" w:styleId="IntenseEmphasis">
    <w:name w:val="Intense Emphasis"/>
    <w:basedOn w:val="DefaultParagraphFont"/>
    <w:uiPriority w:val="21"/>
    <w:qFormat/>
    <w:rsid w:val="00D3782C"/>
    <w:rPr>
      <w:i/>
      <w:iCs/>
      <w:color w:val="0F4761" w:themeColor="accent1" w:themeShade="BF"/>
    </w:rPr>
  </w:style>
  <w:style w:type="paragraph" w:styleId="IntenseQuote">
    <w:name w:val="Intense Quote"/>
    <w:aliases w:val="Policy Header"/>
    <w:basedOn w:val="Normal"/>
    <w:next w:val="Normal"/>
    <w:link w:val="IntenseQuoteChar"/>
    <w:uiPriority w:val="30"/>
    <w:qFormat/>
    <w:rsid w:val="00D378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aliases w:val="Policy Header Char"/>
    <w:basedOn w:val="DefaultParagraphFont"/>
    <w:link w:val="IntenseQuote"/>
    <w:uiPriority w:val="30"/>
    <w:rsid w:val="00D3782C"/>
    <w:rPr>
      <w:i/>
      <w:iCs/>
      <w:color w:val="0F4761" w:themeColor="accent1" w:themeShade="BF"/>
    </w:rPr>
  </w:style>
  <w:style w:type="character" w:styleId="IntenseReference">
    <w:name w:val="Intense Reference"/>
    <w:basedOn w:val="DefaultParagraphFont"/>
    <w:uiPriority w:val="32"/>
    <w:qFormat/>
    <w:rsid w:val="00D3782C"/>
    <w:rPr>
      <w:b/>
      <w:bCs/>
      <w:smallCaps/>
      <w:color w:val="0F4761" w:themeColor="accent1" w:themeShade="BF"/>
      <w:spacing w:val="5"/>
    </w:rPr>
  </w:style>
  <w:style w:type="paragraph" w:styleId="Footer">
    <w:name w:val="footer"/>
    <w:basedOn w:val="Normal"/>
    <w:link w:val="FooterChar"/>
    <w:uiPriority w:val="99"/>
    <w:rsid w:val="00D3782C"/>
    <w:pPr>
      <w:tabs>
        <w:tab w:val="center" w:pos="4680"/>
        <w:tab w:val="right" w:pos="9360"/>
      </w:tabs>
    </w:pPr>
  </w:style>
  <w:style w:type="character" w:customStyle="1" w:styleId="FooterChar">
    <w:name w:val="Footer Char"/>
    <w:basedOn w:val="DefaultParagraphFont"/>
    <w:link w:val="Footer"/>
    <w:uiPriority w:val="99"/>
    <w:rsid w:val="00D3782C"/>
    <w:rPr>
      <w:kern w:val="0"/>
      <w:sz w:val="22"/>
      <w:szCs w:val="22"/>
      <w14:ligatures w14:val="none"/>
    </w:rPr>
  </w:style>
  <w:style w:type="character" w:styleId="Hyperlink">
    <w:name w:val="Hyperlink"/>
    <w:basedOn w:val="DefaultParagraphFont"/>
    <w:rsid w:val="00D3782C"/>
    <w:rPr>
      <w:color w:val="467886" w:themeColor="hyperlink"/>
      <w:u w:val="single"/>
    </w:rPr>
  </w:style>
  <w:style w:type="character" w:styleId="CommentReference">
    <w:name w:val="annotation reference"/>
    <w:basedOn w:val="DefaultParagraphFont"/>
    <w:semiHidden/>
    <w:unhideWhenUsed/>
    <w:rsid w:val="00D3782C"/>
    <w:rPr>
      <w:sz w:val="16"/>
      <w:szCs w:val="16"/>
    </w:rPr>
  </w:style>
  <w:style w:type="paragraph" w:styleId="CommentText">
    <w:name w:val="annotation text"/>
    <w:basedOn w:val="Normal"/>
    <w:link w:val="CommentTextChar"/>
    <w:unhideWhenUsed/>
    <w:rsid w:val="00D3782C"/>
    <w:pPr>
      <w:spacing w:line="240" w:lineRule="auto"/>
    </w:pPr>
    <w:rPr>
      <w:sz w:val="20"/>
      <w:szCs w:val="20"/>
    </w:rPr>
  </w:style>
  <w:style w:type="character" w:customStyle="1" w:styleId="CommentTextChar">
    <w:name w:val="Comment Text Char"/>
    <w:basedOn w:val="DefaultParagraphFont"/>
    <w:link w:val="CommentText"/>
    <w:rsid w:val="00D3782C"/>
    <w:rPr>
      <w:kern w:val="0"/>
      <w:sz w:val="20"/>
      <w:szCs w:val="20"/>
      <w14:ligatures w14:val="none"/>
    </w:rPr>
  </w:style>
  <w:style w:type="paragraph" w:styleId="CommentSubject">
    <w:name w:val="annotation subject"/>
    <w:basedOn w:val="CommentText"/>
    <w:next w:val="CommentText"/>
    <w:link w:val="CommentSubjectChar"/>
    <w:semiHidden/>
    <w:unhideWhenUsed/>
    <w:rsid w:val="00D3782C"/>
    <w:rPr>
      <w:b/>
      <w:bCs/>
    </w:rPr>
  </w:style>
  <w:style w:type="character" w:customStyle="1" w:styleId="CommentSubjectChar">
    <w:name w:val="Comment Subject Char"/>
    <w:basedOn w:val="CommentTextChar"/>
    <w:link w:val="CommentSubject"/>
    <w:semiHidden/>
    <w:rsid w:val="00D3782C"/>
    <w:rPr>
      <w:b/>
      <w:bCs/>
      <w:kern w:val="0"/>
      <w:sz w:val="20"/>
      <w:szCs w:val="20"/>
      <w14:ligatures w14:val="none"/>
    </w:rPr>
  </w:style>
  <w:style w:type="numbering" w:customStyle="1" w:styleId="PolicyStyle">
    <w:name w:val="Policy Style"/>
    <w:uiPriority w:val="99"/>
    <w:rsid w:val="00D3782C"/>
    <w:pPr>
      <w:numPr>
        <w:numId w:val="1"/>
      </w:numPr>
    </w:pPr>
  </w:style>
  <w:style w:type="table" w:styleId="TableGrid">
    <w:name w:val="Table Grid"/>
    <w:basedOn w:val="TableNormal"/>
    <w:rsid w:val="00D3782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3782C"/>
    <w:rPr>
      <w:color w:val="605E5C"/>
      <w:shd w:val="clear" w:color="auto" w:fill="E1DFDD"/>
    </w:rPr>
  </w:style>
  <w:style w:type="paragraph" w:customStyle="1" w:styleId="UPHeading1">
    <w:name w:val="UP Heading 1"/>
    <w:basedOn w:val="Normal"/>
    <w:link w:val="UPHeading1Char"/>
    <w:qFormat/>
    <w:rsid w:val="00D3782C"/>
    <w:pPr>
      <w:pBdr>
        <w:top w:val="single" w:sz="12" w:space="1" w:color="C00000"/>
      </w:pBdr>
      <w:spacing w:before="120" w:line="240" w:lineRule="auto"/>
      <w:outlineLvl w:val="1"/>
    </w:pPr>
    <w:rPr>
      <w:rFonts w:ascii="Arial" w:hAnsi="Arial" w:cs="Arial"/>
      <w:b/>
    </w:rPr>
  </w:style>
  <w:style w:type="character" w:customStyle="1" w:styleId="UPHeading1Char">
    <w:name w:val="UP Heading 1 Char"/>
    <w:basedOn w:val="DefaultParagraphFont"/>
    <w:link w:val="UPHeading1"/>
    <w:rsid w:val="00D3782C"/>
    <w:rPr>
      <w:rFonts w:ascii="Arial" w:hAnsi="Arial" w:cs="Arial"/>
      <w:b/>
      <w:kern w:val="0"/>
      <w:sz w:val="22"/>
      <w:szCs w:val="22"/>
      <w14:ligatures w14:val="none"/>
    </w:rPr>
  </w:style>
  <w:style w:type="paragraph" w:customStyle="1" w:styleId="LevelI">
    <w:name w:val="Level I"/>
    <w:basedOn w:val="ListParagraph"/>
    <w:autoRedefine/>
    <w:qFormat/>
    <w:rsid w:val="00D3782C"/>
    <w:pPr>
      <w:numPr>
        <w:numId w:val="2"/>
      </w:numPr>
      <w:ind w:left="540" w:hanging="540"/>
    </w:pPr>
    <w:rPr>
      <w:b/>
    </w:rPr>
  </w:style>
  <w:style w:type="paragraph" w:customStyle="1" w:styleId="LevelA0">
    <w:name w:val="Level A"/>
    <w:basedOn w:val="ListParagraph"/>
    <w:autoRedefine/>
    <w:qFormat/>
    <w:rsid w:val="00E12136"/>
    <w:pPr>
      <w:numPr>
        <w:numId w:val="3"/>
      </w:numPr>
    </w:pPr>
    <w:rPr>
      <w:rFonts w:cstheme="minorHAnsi"/>
      <w:bCs/>
      <w:color w:val="000000"/>
      <w:lang w:val=""/>
    </w:rPr>
  </w:style>
  <w:style w:type="paragraph" w:customStyle="1" w:styleId="Level10">
    <w:name w:val="Level 1"/>
    <w:basedOn w:val="ListParagraph"/>
    <w:autoRedefine/>
    <w:qFormat/>
    <w:rsid w:val="00D3782C"/>
    <w:pPr>
      <w:numPr>
        <w:numId w:val="4"/>
      </w:numPr>
    </w:pPr>
  </w:style>
  <w:style w:type="paragraph" w:customStyle="1" w:styleId="Levela">
    <w:name w:val="Level a."/>
    <w:basedOn w:val="ListParagraph"/>
    <w:autoRedefine/>
    <w:qFormat/>
    <w:rsid w:val="00D3782C"/>
    <w:pPr>
      <w:numPr>
        <w:numId w:val="5"/>
      </w:numPr>
    </w:pPr>
  </w:style>
  <w:style w:type="paragraph" w:customStyle="1" w:styleId="Level1">
    <w:name w:val="Level (1.)"/>
    <w:basedOn w:val="ListParagraph"/>
    <w:autoRedefine/>
    <w:qFormat/>
    <w:rsid w:val="00D3782C"/>
    <w:pPr>
      <w:numPr>
        <w:numId w:val="6"/>
      </w:numPr>
    </w:pPr>
  </w:style>
  <w:style w:type="paragraph" w:styleId="BodyText">
    <w:name w:val="Body Text"/>
    <w:basedOn w:val="Normal"/>
    <w:link w:val="BodyTextChar"/>
    <w:uiPriority w:val="1"/>
    <w:qFormat/>
    <w:rsid w:val="00D3782C"/>
    <w:pPr>
      <w:widowControl w:val="0"/>
      <w:autoSpaceDE w:val="0"/>
      <w:autoSpaceDN w:val="0"/>
      <w:spacing w:after="0" w:line="240" w:lineRule="auto"/>
    </w:pPr>
    <w:rPr>
      <w:rFonts w:ascii="Calibri" w:eastAsia="Calibri" w:hAnsi="Calibri" w:cs="Calibri"/>
      <w:sz w:val="20"/>
      <w:szCs w:val="20"/>
    </w:rPr>
  </w:style>
  <w:style w:type="character" w:customStyle="1" w:styleId="BodyTextChar">
    <w:name w:val="Body Text Char"/>
    <w:basedOn w:val="DefaultParagraphFont"/>
    <w:link w:val="BodyText"/>
    <w:uiPriority w:val="1"/>
    <w:rsid w:val="00D3782C"/>
    <w:rPr>
      <w:rFonts w:ascii="Calibri" w:eastAsia="Calibri" w:hAnsi="Calibri" w:cs="Calibri"/>
      <w:kern w:val="0"/>
      <w:sz w:val="20"/>
      <w:szCs w:val="20"/>
      <w14:ligatures w14:val="none"/>
    </w:rPr>
  </w:style>
  <w:style w:type="paragraph" w:styleId="NoSpacing">
    <w:name w:val="No Spacing"/>
    <w:link w:val="NoSpacingChar"/>
    <w:uiPriority w:val="1"/>
    <w:qFormat/>
    <w:rsid w:val="00D3782C"/>
    <w:pPr>
      <w:spacing w:after="0" w:line="240" w:lineRule="auto"/>
    </w:pPr>
    <w:rPr>
      <w:kern w:val="0"/>
      <w:sz w:val="22"/>
      <w:szCs w:val="22"/>
      <w14:ligatures w14:val="none"/>
    </w:rPr>
  </w:style>
  <w:style w:type="character" w:customStyle="1" w:styleId="NoSpacingChar">
    <w:name w:val="No Spacing Char"/>
    <w:basedOn w:val="DefaultParagraphFont"/>
    <w:link w:val="NoSpacing"/>
    <w:uiPriority w:val="1"/>
    <w:rsid w:val="00D3782C"/>
    <w:rPr>
      <w:kern w:val="0"/>
      <w:sz w:val="22"/>
      <w:szCs w:val="22"/>
      <w14:ligatures w14:val="none"/>
    </w:rPr>
  </w:style>
  <w:style w:type="paragraph" w:styleId="Header">
    <w:name w:val="header"/>
    <w:basedOn w:val="Normal"/>
    <w:link w:val="HeaderChar"/>
    <w:uiPriority w:val="99"/>
    <w:unhideWhenUsed/>
    <w:rsid w:val="00D3782C"/>
    <w:pPr>
      <w:widowControl w:val="0"/>
      <w:tabs>
        <w:tab w:val="center" w:pos="4680"/>
        <w:tab w:val="right" w:pos="9360"/>
      </w:tabs>
      <w:autoSpaceDE w:val="0"/>
      <w:autoSpaceDN w:val="0"/>
      <w:spacing w:after="0" w:line="240" w:lineRule="auto"/>
    </w:pPr>
    <w:rPr>
      <w:rFonts w:ascii="Calibri" w:eastAsia="Calibri" w:hAnsi="Calibri" w:cs="Calibri"/>
    </w:rPr>
  </w:style>
  <w:style w:type="character" w:customStyle="1" w:styleId="HeaderChar">
    <w:name w:val="Header Char"/>
    <w:basedOn w:val="DefaultParagraphFont"/>
    <w:link w:val="Header"/>
    <w:uiPriority w:val="99"/>
    <w:rsid w:val="00D3782C"/>
    <w:rPr>
      <w:rFonts w:ascii="Calibri" w:eastAsia="Calibri" w:hAnsi="Calibri" w:cs="Calibri"/>
      <w:kern w:val="0"/>
      <w:sz w:val="22"/>
      <w:szCs w:val="22"/>
      <w14:ligatures w14:val="none"/>
    </w:rPr>
  </w:style>
  <w:style w:type="paragraph" w:customStyle="1" w:styleId="Default">
    <w:name w:val="Default"/>
    <w:link w:val="DefaultChar"/>
    <w:rsid w:val="00D3782C"/>
    <w:pPr>
      <w:autoSpaceDE w:val="0"/>
      <w:autoSpaceDN w:val="0"/>
      <w:adjustRightInd w:val="0"/>
      <w:spacing w:after="0" w:line="240" w:lineRule="auto"/>
    </w:pPr>
    <w:rPr>
      <w:rFonts w:ascii="Arial" w:hAnsi="Arial" w:cs="Arial"/>
      <w:color w:val="000000"/>
      <w:kern w:val="0"/>
      <w14:ligatures w14:val="none"/>
    </w:rPr>
  </w:style>
  <w:style w:type="character" w:customStyle="1" w:styleId="DefaultChar">
    <w:name w:val="Default Char"/>
    <w:basedOn w:val="DefaultParagraphFont"/>
    <w:link w:val="Default"/>
    <w:rsid w:val="00D3782C"/>
    <w:rPr>
      <w:rFonts w:ascii="Arial" w:hAnsi="Arial" w:cs="Arial"/>
      <w:color w:val="000000"/>
      <w:kern w:val="0"/>
      <w14:ligatures w14:val="none"/>
    </w:rPr>
  </w:style>
  <w:style w:type="paragraph" w:customStyle="1" w:styleId="PolicyHeader2">
    <w:name w:val="Policy Header 2"/>
    <w:basedOn w:val="Default"/>
    <w:link w:val="PolicyHeader2Char"/>
    <w:qFormat/>
    <w:rsid w:val="00D3782C"/>
    <w:pPr>
      <w:widowControl w:val="0"/>
      <w:pBdr>
        <w:top w:val="single" w:sz="12" w:space="1" w:color="C00000"/>
      </w:pBdr>
    </w:pPr>
    <w:rPr>
      <w:rFonts w:eastAsiaTheme="minorEastAsia"/>
      <w:b/>
      <w:sz w:val="22"/>
      <w:szCs w:val="22"/>
    </w:rPr>
  </w:style>
  <w:style w:type="character" w:customStyle="1" w:styleId="PolicyHeader2Char">
    <w:name w:val="Policy Header 2 Char"/>
    <w:basedOn w:val="DefaultParagraphFont"/>
    <w:link w:val="PolicyHeader2"/>
    <w:rsid w:val="00D3782C"/>
    <w:rPr>
      <w:rFonts w:ascii="Arial" w:eastAsiaTheme="minorEastAsia" w:hAnsi="Arial" w:cs="Arial"/>
      <w:b/>
      <w:color w:val="000000"/>
      <w:kern w:val="0"/>
      <w:sz w:val="22"/>
      <w:szCs w:val="22"/>
      <w14:ligatures w14:val="none"/>
    </w:rPr>
  </w:style>
  <w:style w:type="paragraph" w:customStyle="1" w:styleId="PolicyMultilevelList">
    <w:name w:val="Policy Multilevel List"/>
    <w:basedOn w:val="NoSpacing"/>
    <w:link w:val="PolicyMultilevelListChar"/>
    <w:qFormat/>
    <w:rsid w:val="00D3782C"/>
    <w:rPr>
      <w:rFonts w:ascii="Arial" w:hAnsi="Arial"/>
      <w:b/>
    </w:rPr>
  </w:style>
  <w:style w:type="character" w:customStyle="1" w:styleId="PolicyMultilevelListChar">
    <w:name w:val="Policy Multilevel List Char"/>
    <w:basedOn w:val="NoSpacingChar"/>
    <w:link w:val="PolicyMultilevelList"/>
    <w:rsid w:val="00D3782C"/>
    <w:rPr>
      <w:rFonts w:ascii="Arial" w:hAnsi="Arial"/>
      <w:b/>
      <w:kern w:val="0"/>
      <w:sz w:val="22"/>
      <w:szCs w:val="22"/>
      <w14:ligatures w14:val="none"/>
    </w:rPr>
  </w:style>
  <w:style w:type="paragraph" w:customStyle="1" w:styleId="TableParagraph">
    <w:name w:val="Table Paragraph"/>
    <w:basedOn w:val="Normal"/>
    <w:uiPriority w:val="1"/>
    <w:qFormat/>
    <w:rsid w:val="00D3782C"/>
    <w:pPr>
      <w:widowControl w:val="0"/>
      <w:autoSpaceDE w:val="0"/>
      <w:autoSpaceDN w:val="0"/>
      <w:spacing w:after="0" w:line="240" w:lineRule="auto"/>
    </w:pPr>
    <w:rPr>
      <w:rFonts w:ascii="Calibri" w:eastAsia="Calibri" w:hAnsi="Calibri" w:cs="Calibri"/>
    </w:rPr>
  </w:style>
  <w:style w:type="paragraph" w:customStyle="1" w:styleId="P00Base">
    <w:name w:val="P00_Base"/>
    <w:rsid w:val="00D3782C"/>
    <w:pPr>
      <w:spacing w:after="0" w:line="240" w:lineRule="auto"/>
    </w:pPr>
    <w:rPr>
      <w:rFonts w:ascii="Arial" w:eastAsia="Times New Roman" w:hAnsi="Arial" w:cs="Times New Roman"/>
      <w:kern w:val="0"/>
      <w:sz w:val="20"/>
      <w:szCs w:val="20"/>
      <w14:ligatures w14:val="none"/>
    </w:rPr>
  </w:style>
  <w:style w:type="character" w:styleId="FollowedHyperlink">
    <w:name w:val="FollowedHyperlink"/>
    <w:basedOn w:val="DefaultParagraphFont"/>
    <w:semiHidden/>
    <w:unhideWhenUsed/>
    <w:rsid w:val="00D3782C"/>
    <w:rPr>
      <w:color w:val="96607D" w:themeColor="followedHyperlink"/>
      <w:u w:val="single"/>
    </w:rPr>
  </w:style>
  <w:style w:type="paragraph" w:styleId="Revision">
    <w:name w:val="Revision"/>
    <w:hidden/>
    <w:uiPriority w:val="99"/>
    <w:semiHidden/>
    <w:rsid w:val="00D3782C"/>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otm.finance.harvard.edu/pages/debt-financing"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fss.finance.harvard.edu/application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iki.harvard.edu/confluence/pages/viewpage.action?pageId=192940708"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hwpi.harvard.edu/os_fast/files/otm/loan_term_calculator.xls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4F1C1D1B19F74C917C8617E2F071DA" ma:contentTypeVersion="10" ma:contentTypeDescription="Create a new document." ma:contentTypeScope="" ma:versionID="1012c805fdba53c7724a2be9599482b4">
  <xsd:schema xmlns:xsd="http://www.w3.org/2001/XMLSchema" xmlns:xs="http://www.w3.org/2001/XMLSchema" xmlns:p="http://schemas.microsoft.com/office/2006/metadata/properties" xmlns:ns2="303b9bec-6670-4f9c-88b5-934c2fa8abae" xmlns:ns3="fa4a6c43-a158-4316-a2c8-c156cd11b2b5" targetNamespace="http://schemas.microsoft.com/office/2006/metadata/properties" ma:root="true" ma:fieldsID="b407e15b1c574c67b4e8772abbb993d1" ns2:_="" ns3:_="">
    <xsd:import namespace="303b9bec-6670-4f9c-88b5-934c2fa8abae"/>
    <xsd:import namespace="fa4a6c43-a158-4316-a2c8-c156cd11b2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3b9bec-6670-4f9c-88b5-934c2fa8a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4a6c43-a158-4316-a2c8-c156cd11b2b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8AE03-86B2-4CA4-BD3A-E8BC00445D9D}">
  <ds:schemaRefs>
    <ds:schemaRef ds:uri="http://schemas.microsoft.com/sharepoint/v3/contenttype/forms"/>
  </ds:schemaRefs>
</ds:datastoreItem>
</file>

<file path=customXml/itemProps2.xml><?xml version="1.0" encoding="utf-8"?>
<ds:datastoreItem xmlns:ds="http://schemas.openxmlformats.org/officeDocument/2006/customXml" ds:itemID="{22D0865C-9AE7-4AB2-AC15-40CE29613383}">
  <ds:schemaRefs>
    <ds:schemaRef ds:uri="303b9bec-6670-4f9c-88b5-934c2fa8abae"/>
    <ds:schemaRef ds:uri="http://www.w3.org/XML/1998/namespace"/>
    <ds:schemaRef ds:uri="http://purl.org/dc/dcmitype/"/>
    <ds:schemaRef ds:uri="http://purl.org/dc/elements/1.1/"/>
    <ds:schemaRef ds:uri="http://schemas.microsoft.com/office/infopath/2007/PartnerControls"/>
    <ds:schemaRef ds:uri="http://schemas.microsoft.com/office/2006/documentManagement/types"/>
    <ds:schemaRef ds:uri="http://purl.org/dc/terms/"/>
    <ds:schemaRef ds:uri="http://schemas.microsoft.com/office/2006/metadata/properties"/>
    <ds:schemaRef ds:uri="http://schemas.openxmlformats.org/package/2006/metadata/core-properties"/>
    <ds:schemaRef ds:uri="fa4a6c43-a158-4316-a2c8-c156cd11b2b5"/>
  </ds:schemaRefs>
</ds:datastoreItem>
</file>

<file path=customXml/itemProps3.xml><?xml version="1.0" encoding="utf-8"?>
<ds:datastoreItem xmlns:ds="http://schemas.openxmlformats.org/officeDocument/2006/customXml" ds:itemID="{5DCA4500-320B-48E9-99A4-AA5E8DA88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3b9bec-6670-4f9c-88b5-934c2fa8abae"/>
    <ds:schemaRef ds:uri="fa4a6c43-a158-4316-a2c8-c156cd11b2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739274-B76B-4618-9BC8-F4145E180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2079</Words>
  <Characters>11852</Characters>
  <Application>Microsoft Office Word</Application>
  <DocSecurity>8</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McKetchnie, Gregory</dc:creator>
  <cp:keywords/>
  <dc:description/>
  <cp:lastModifiedBy>Kittredge, Karen J.</cp:lastModifiedBy>
  <cp:revision>6</cp:revision>
  <dcterms:created xsi:type="dcterms:W3CDTF">2025-08-06T15:42:00Z</dcterms:created>
  <dcterms:modified xsi:type="dcterms:W3CDTF">2025-08-07T13:44:00Z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0x010100124F1C1D1B19F74C917C8617E2F071DA</vt:lpwstr>
  </property>
  <property fmtid="{D5CDD505-2E9C-101B-9397-08002B2CF9AE}" pid="3" name="MediaServiceImageTags">
    <vt:lpwstr/>
  </property>
</Properties>
</file>