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6FF58" w14:textId="77777777" w:rsidR="00D3782C" w:rsidRPr="002F760F" w:rsidRDefault="00D3782C" w:rsidP="002F760F">
      <w:pPr>
        <w:jc w:val="center"/>
        <w:rPr>
          <w:rFonts w:ascii="Arial" w:hAnsi="Arial" w:cs="Arial"/>
          <w:b/>
          <w:bCs/>
          <w:sz w:val="28"/>
          <w:szCs w:val="28"/>
        </w:rPr>
      </w:pPr>
      <w:bookmarkStart w:id="0" w:name="Appendix_D_Disposals"/>
      <w:r w:rsidRPr="002F760F">
        <w:rPr>
          <w:rFonts w:ascii="Arial" w:hAnsi="Arial" w:cs="Arial"/>
          <w:b/>
          <w:bCs/>
          <w:sz w:val="28"/>
          <w:szCs w:val="28"/>
        </w:rPr>
        <w:t>Appendix D</w:t>
      </w:r>
      <w:bookmarkEnd w:id="0"/>
      <w:r w:rsidRPr="002F760F">
        <w:rPr>
          <w:rFonts w:ascii="Arial" w:hAnsi="Arial" w:cs="Arial"/>
          <w:b/>
          <w:bCs/>
          <w:sz w:val="28"/>
          <w:szCs w:val="28"/>
        </w:rPr>
        <w:t>: Detailed Guidance on Disposition, Retirement and Impairment</w:t>
      </w:r>
    </w:p>
    <w:p w14:paraId="668EAADC" w14:textId="77777777" w:rsidR="00D3782C" w:rsidRPr="00E16399" w:rsidRDefault="00D3782C" w:rsidP="00D3782C">
      <w:pPr>
        <w:rPr>
          <w:sz w:val="12"/>
          <w:szCs w:val="12"/>
        </w:rPr>
      </w:pPr>
      <w:r w:rsidRPr="00E16399">
        <w:rPr>
          <w:noProof/>
          <w:sz w:val="12"/>
          <w:szCs w:val="12"/>
        </w:rPr>
        <mc:AlternateContent>
          <mc:Choice Requires="wps">
            <w:drawing>
              <wp:anchor distT="0" distB="0" distL="114300" distR="114300" simplePos="0" relativeHeight="251664384" behindDoc="0" locked="0" layoutInCell="1" allowOverlap="1" wp14:anchorId="40292001" wp14:editId="04BDA9CC">
                <wp:simplePos x="0" y="0"/>
                <wp:positionH relativeFrom="column">
                  <wp:posOffset>31750</wp:posOffset>
                </wp:positionH>
                <wp:positionV relativeFrom="paragraph">
                  <wp:posOffset>38100</wp:posOffset>
                </wp:positionV>
                <wp:extent cx="5924550" cy="0"/>
                <wp:effectExtent l="0" t="0" r="0" b="0"/>
                <wp:wrapNone/>
                <wp:docPr id="78101438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24550" cy="0"/>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69C9FBF5" id="Straight Connector 1" o:spid="_x0000_s1026" alt="&quot;&quot;"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5pt,3pt" to="46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" strokecolor="#e97132 [3205]" strokeweight="1.5pt">
                <v:stroke joinstyle="miter"/>
              </v:line>
            </w:pict>
          </mc:Fallback>
        </mc:AlternateContent>
      </w:r>
    </w:p>
    <w:p w14:paraId="0A3D963D" w14:textId="77777777" w:rsidR="00D3782C" w:rsidRPr="00FB717D" w:rsidRDefault="00D3782C" w:rsidP="00D3782C">
      <w:r w:rsidRPr="00FB717D">
        <w:t xml:space="preserve">Basic rules for disposals and impairments: </w:t>
      </w:r>
    </w:p>
    <w:p w14:paraId="77B94D3E" w14:textId="77777777" w:rsidR="00D3782C" w:rsidRDefault="00D3782C" w:rsidP="00D3782C">
      <w:r w:rsidRPr="00FB717D">
        <w:t>When an asset has been sold, demolished, is no longer in service or its value has been permanently impaired, any remaining value of the asset, net of accumulated depreciation, less any salvage value, must be written off or written down to its net realizable value. This involves removing both the asset and the accumulated depreciation from the general ledger</w:t>
      </w:r>
      <w:r>
        <w:t xml:space="preserve"> and the Assets Inventory System</w:t>
      </w:r>
      <w:r w:rsidRPr="00FB717D">
        <w:t xml:space="preserve"> and recognizing a gain or loss for the difference. Any outstanding loans on debt-financed assets that are being written off must be settled before impairments can be written off.</w:t>
      </w:r>
    </w:p>
    <w:p w14:paraId="1AD52E60" w14:textId="77777777" w:rsidR="00D3782C" w:rsidRDefault="00D3782C" w:rsidP="00D3782C">
      <w:r w:rsidRPr="009C2788">
        <w:t xml:space="preserve">Complete the </w:t>
      </w:r>
      <w:hyperlink r:id="rId11" w:history="1">
        <w:r w:rsidRPr="009C2788">
          <w:rPr>
            <w:rStyle w:val="Hyperlink"/>
            <w:rFonts w:cstheme="minorHAnsi"/>
          </w:rPr>
          <w:t>Equipment Disposal Request Form</w:t>
        </w:r>
      </w:hyperlink>
      <w:r w:rsidRPr="009C2788">
        <w:t xml:space="preserve"> </w:t>
      </w:r>
      <w:r>
        <w:t>and attach to the asset inside of the Oracle Financial system.</w:t>
      </w:r>
    </w:p>
    <w:p w14:paraId="7F60CD3F" w14:textId="77777777" w:rsidR="00D3782C" w:rsidRDefault="00D3782C" w:rsidP="00D3782C">
      <w:pPr>
        <w:pStyle w:val="LevelI"/>
        <w:numPr>
          <w:ilvl w:val="0"/>
          <w:numId w:val="48"/>
        </w:numPr>
      </w:pPr>
      <w:r w:rsidRPr="00FB717D">
        <w:t xml:space="preserve">Types of </w:t>
      </w:r>
      <w:r>
        <w:t>D</w:t>
      </w:r>
      <w:r w:rsidRPr="00FB717D">
        <w:t>isposals:</w:t>
      </w:r>
    </w:p>
    <w:p w14:paraId="3FAEE8D1" w14:textId="77777777" w:rsidR="00D3782C" w:rsidRDefault="00D3782C" w:rsidP="00E12136">
      <w:pPr>
        <w:pStyle w:val="LevelA0"/>
        <w:numPr>
          <w:ilvl w:val="0"/>
          <w:numId w:val="49"/>
        </w:numPr>
      </w:pPr>
      <w:r>
        <w:t>Sales of Assets</w:t>
      </w:r>
    </w:p>
    <w:p w14:paraId="34266860" w14:textId="77777777" w:rsidR="00D3782C" w:rsidRPr="00D3763F" w:rsidRDefault="00D3782C" w:rsidP="00D3782C">
      <w:pPr>
        <w:pStyle w:val="Level10"/>
        <w:numPr>
          <w:ilvl w:val="0"/>
          <w:numId w:val="50"/>
        </w:numPr>
      </w:pPr>
      <w:r w:rsidRPr="00D3763F">
        <w:t>Sales of Buildings or Property</w:t>
      </w:r>
    </w:p>
    <w:p w14:paraId="407F0B88" w14:textId="77777777" w:rsidR="00D3782C" w:rsidRPr="00D3763F" w:rsidRDefault="00D3782C" w:rsidP="00D3782C">
      <w:pPr>
        <w:ind w:left="1080"/>
      </w:pPr>
      <w:r w:rsidRPr="00D3763F">
        <w:t>All sales and demolitions to the physical plant should be specified in the capital plan narratives (MYCP and/or one-year capital budget). Sales and demolitions will be subject to review by the Provost and review by the Executive Vice President (EVP), with input from the Planning Office and Campus Services.</w:t>
      </w:r>
    </w:p>
    <w:p w14:paraId="64EA4662" w14:textId="77777777" w:rsidR="00D3782C" w:rsidRPr="00D3763F" w:rsidRDefault="00D3782C" w:rsidP="00D3782C">
      <w:pPr>
        <w:ind w:left="1080"/>
      </w:pPr>
      <w:r w:rsidRPr="00D3763F">
        <w:t>Acquisitions and dispositions not included in CPATH or in the capital plan will be handled as Exceptions requiring review by the Provost and review by the EVP, with input from the Planning Office and Campus Services.”</w:t>
      </w:r>
    </w:p>
    <w:p w14:paraId="0A9AFF9D" w14:textId="77777777" w:rsidR="00D3782C" w:rsidRPr="00D3763F" w:rsidRDefault="00D3782C" w:rsidP="00D3782C">
      <w:pPr>
        <w:pStyle w:val="Level10"/>
      </w:pPr>
      <w:proofErr w:type="gramStart"/>
      <w:r w:rsidRPr="00FB717D">
        <w:t>Equipment Sales</w:t>
      </w:r>
      <w:proofErr w:type="gramEnd"/>
    </w:p>
    <w:p w14:paraId="774CCDA0" w14:textId="77777777" w:rsidR="00D3782C" w:rsidRPr="00FB717D" w:rsidRDefault="00D3782C" w:rsidP="00D3782C">
      <w:pPr>
        <w:ind w:left="1080"/>
      </w:pPr>
      <w:r w:rsidRPr="00FB717D">
        <w:t>Any request to sell capital equipment must be reviewed and approved by the area-level equipment manager before the equipment can be removed from University premises or oversight. The University does not allow the sale of sponsor-funded equipment; exceptions to this policy are rare and are reviewed by the area equipment manager, area sponsored research office, and OSP on a case-by-case basis.</w:t>
      </w:r>
    </w:p>
    <w:p w14:paraId="587957AD" w14:textId="77777777" w:rsidR="00D3782C" w:rsidRPr="00716B03" w:rsidRDefault="00D3782C" w:rsidP="00D3782C">
      <w:pPr>
        <w:pStyle w:val="Levela"/>
        <w:numPr>
          <w:ilvl w:val="0"/>
          <w:numId w:val="51"/>
        </w:numPr>
      </w:pPr>
      <w:r w:rsidRPr="00FB717D">
        <w:t>External</w:t>
      </w:r>
      <w:r>
        <w:t xml:space="preserve"> Sale</w:t>
      </w:r>
      <w:r w:rsidRPr="00FB717D">
        <w:t xml:space="preserve"> – </w:t>
      </w:r>
      <w:r w:rsidRPr="00716B03">
        <w:t xml:space="preserve">Sales of assets to third parties will result in either a gain or loss on sale. Where proceeds are greater than the net book value of the asset (historical cost less accumulated depreciation), the gain is credited to object code 5772, “Gain on sale, Capital </w:t>
      </w:r>
      <w:proofErr w:type="spellStart"/>
      <w:r w:rsidRPr="00716B03">
        <w:t>Asset^Miscellaneous</w:t>
      </w:r>
      <w:proofErr w:type="spellEnd"/>
      <w:r w:rsidRPr="00716B03">
        <w:t xml:space="preserve"> Income, External.” Conversely, where proceeds are less than the net book value of the asset, the loss is debited to object code 8722, “Loss on sale of capital asset.” In either case, the local fixed asset manager or school or unit finance office must write off the </w:t>
      </w:r>
      <w:proofErr w:type="gramStart"/>
      <w:r w:rsidRPr="00716B03">
        <w:t>asset</w:t>
      </w:r>
      <w:proofErr w:type="gramEnd"/>
      <w:r w:rsidRPr="00716B03">
        <w:t xml:space="preserve"> through Oracle Fixed Assets. If the asset is not yet fully depreciated, Financial Accounting and Reporting (FAR) must transfer any remaining plant equity to operating net assets as a below-the-line internal transfer (non-operating activity). See the University’s </w:t>
      </w:r>
      <w:hyperlink r:id="rId12" w:history="1">
        <w:r w:rsidRPr="00716B03">
          <w:t>Internal Transfer Policy</w:t>
        </w:r>
      </w:hyperlink>
      <w:r w:rsidRPr="00716B03">
        <w:t xml:space="preserve"> for further information. When selling assets, any outstanding loans relating to the assets must be settled; consult the Office of Treasury Management (OTM) in these cases. Communicate all external sales, including relevant asset numbers, retirement report, detail on cash receipt coding from sales proceeds, and the transaction listing for any o/c 8722 write-off, to </w:t>
      </w:r>
      <w:r w:rsidRPr="00716B03">
        <w:lastRenderedPageBreak/>
        <w:t>Financial Accounting and Reporting (FAR), as there may be additional accounting entries necessary.</w:t>
      </w:r>
    </w:p>
    <w:p w14:paraId="42257F0F" w14:textId="77777777" w:rsidR="00D3782C" w:rsidRPr="00211F87" w:rsidRDefault="00D3782C" w:rsidP="00D3782C">
      <w:pPr>
        <w:ind w:left="1440"/>
      </w:pPr>
      <w:r>
        <w:rPr>
          <w:color w:val="000000"/>
        </w:rPr>
        <w:t xml:space="preserve">Sales or </w:t>
      </w:r>
      <w:hyperlink r:id="rId13" w:history="1">
        <w:r w:rsidRPr="002D7569">
          <w:rPr>
            <w:rStyle w:val="Hyperlink"/>
            <w:rFonts w:cstheme="minorHAnsi"/>
            <w:bCs/>
          </w:rPr>
          <w:t xml:space="preserve">Unrelated Business Income Tax </w:t>
        </w:r>
      </w:hyperlink>
      <w:r>
        <w:rPr>
          <w:color w:val="000000"/>
        </w:rPr>
        <w:t>may apply. Contact the Tax Reporting Office for additional information.</w:t>
      </w:r>
    </w:p>
    <w:p w14:paraId="33883BEA" w14:textId="77777777" w:rsidR="00D3782C" w:rsidRPr="00716B03" w:rsidRDefault="00D3782C" w:rsidP="00D3782C">
      <w:pPr>
        <w:pStyle w:val="Levela"/>
      </w:pPr>
      <w:r w:rsidRPr="00FB717D">
        <w:rPr>
          <w:b/>
          <w:i/>
        </w:rPr>
        <w:t>Internal Sale</w:t>
      </w:r>
      <w:r>
        <w:rPr>
          <w:b/>
          <w:i/>
        </w:rPr>
        <w:t xml:space="preserve"> </w:t>
      </w:r>
      <w:r w:rsidRPr="00FB717D">
        <w:rPr>
          <w:i/>
        </w:rPr>
        <w:t>–</w:t>
      </w:r>
      <w:r w:rsidRPr="00FB717D">
        <w:t xml:space="preserve"> When an asset is sold or transferred between </w:t>
      </w:r>
      <w:r>
        <w:t>schools or units</w:t>
      </w:r>
      <w:r w:rsidRPr="00FB717D">
        <w:t xml:space="preserve">, no gain or loss on the transaction may be recorded since the asset is still owned by the University, and gains or losses may not be internally generated. The asset is transferred </w:t>
      </w:r>
      <w:proofErr w:type="gramStart"/>
      <w:r w:rsidRPr="00FB717D">
        <w:t>at</w:t>
      </w:r>
      <w:proofErr w:type="gramEnd"/>
      <w:r w:rsidRPr="00FB717D">
        <w:t xml:space="preserve"> the </w:t>
      </w:r>
      <w:proofErr w:type="gramStart"/>
      <w:r w:rsidRPr="00FB717D">
        <w:t>net book</w:t>
      </w:r>
      <w:proofErr w:type="gramEnd"/>
      <w:r w:rsidRPr="00FB717D">
        <w:t xml:space="preserve"> value at the time of sale. Transfer request must be done through FAR as the assets need to be reassigned between the two </w:t>
      </w:r>
      <w:r>
        <w:t>schools/units</w:t>
      </w:r>
      <w:r w:rsidRPr="00FB717D">
        <w:t xml:space="preserve"> in Oracle Fixed Assets. Any amount exchanged in excess of the net book value is recorded through the 9300 range of object codes as a below-the-line internal transfer (non-operating activity</w:t>
      </w:r>
      <w:proofErr w:type="gramStart"/>
      <w:r w:rsidRPr="00FB717D">
        <w:t>), and</w:t>
      </w:r>
      <w:proofErr w:type="gramEnd"/>
      <w:r w:rsidRPr="00FB717D">
        <w:t xml:space="preserve"> would not affect the net book value of the asset. </w:t>
      </w:r>
      <w:r>
        <w:t>The school or unit</w:t>
      </w:r>
      <w:r w:rsidRPr="00FB717D">
        <w:t xml:space="preserve"> transferring assets should contact FAR to ensure that the corresponding plant equity is transferred along with the asset. See the University’s </w:t>
      </w:r>
      <w:hyperlink r:id="rId14" w:history="1">
        <w:r w:rsidRPr="00FB717D">
          <w:rPr>
            <w:rStyle w:val="Hyperlink"/>
            <w:rFonts w:cstheme="minorHAnsi"/>
          </w:rPr>
          <w:t>Internal Transfer Policy</w:t>
        </w:r>
      </w:hyperlink>
      <w:r w:rsidRPr="00FB717D">
        <w:t xml:space="preserve"> for further information</w:t>
      </w:r>
      <w:r>
        <w:t>.</w:t>
      </w:r>
      <w:r w:rsidRPr="00FB717D">
        <w:t xml:space="preserve"> For buildings, the root number remains the same; FAR updates the root’s attributes to reflect the building’s new owner and any change to the building’s primary use.</w:t>
      </w:r>
    </w:p>
    <w:p w14:paraId="0C6F5534" w14:textId="77777777" w:rsidR="00D3782C" w:rsidRPr="00716B03" w:rsidRDefault="00D3782C" w:rsidP="00E12136">
      <w:pPr>
        <w:pStyle w:val="LevelA0"/>
      </w:pPr>
      <w:r w:rsidRPr="00FB717D">
        <w:t>Demolition</w:t>
      </w:r>
    </w:p>
    <w:p w14:paraId="26247386" w14:textId="77777777" w:rsidR="00D3782C" w:rsidRPr="00FB717D" w:rsidRDefault="00D3782C" w:rsidP="00D3782C">
      <w:pPr>
        <w:pStyle w:val="Level10"/>
        <w:numPr>
          <w:ilvl w:val="0"/>
          <w:numId w:val="52"/>
        </w:numPr>
      </w:pPr>
      <w:r w:rsidRPr="00BD6847">
        <w:rPr>
          <w:b/>
          <w:i/>
        </w:rPr>
        <w:t>Partial demolition</w:t>
      </w:r>
      <w:r w:rsidRPr="00BD6847">
        <w:rPr>
          <w:b/>
        </w:rPr>
        <w:t xml:space="preserve"> </w:t>
      </w:r>
      <w:r w:rsidRPr="00FB717D">
        <w:t xml:space="preserve">– In cases where part of a structure is being demolished so that a new addition may be built, the costs related to the partial demolition are capitalized to the new capital project by coding invoices to the CIP object code 1254, “CIP, </w:t>
      </w:r>
      <w:proofErr w:type="spellStart"/>
      <w:r w:rsidRPr="00FB717D">
        <w:t>Demo+Site</w:t>
      </w:r>
      <w:proofErr w:type="spellEnd"/>
      <w:r w:rsidRPr="00FB717D">
        <w:t xml:space="preserve"> Prep.” The historical costs associated with the asset that is being partially demolished must be written off in Oracle Fixed Assets</w:t>
      </w:r>
      <w:r>
        <w:t>, meaning prior CAPS or CPATH projects affiliated with the same space/building must be evaluated for impairment</w:t>
      </w:r>
      <w:r w:rsidRPr="00FB717D">
        <w:t xml:space="preserve">. The write-down of a partially demolished capital asset must be done in Oracle Fixed Assets by the </w:t>
      </w:r>
      <w:r>
        <w:t>school or unit</w:t>
      </w:r>
      <w:r w:rsidRPr="00FB717D">
        <w:t xml:space="preserve"> Financial Office or Fixed Asset Manager. No additional entries are required as Oracle Fixed Assets will record the corresponding loss on disposal and transfer of plant equity.</w:t>
      </w:r>
    </w:p>
    <w:p w14:paraId="5F70A808" w14:textId="77777777" w:rsidR="00D3782C" w:rsidRPr="008D06DB" w:rsidRDefault="00D3782C" w:rsidP="00D3782C">
      <w:pPr>
        <w:pStyle w:val="Level10"/>
      </w:pPr>
      <w:r w:rsidRPr="00FB717D">
        <w:rPr>
          <w:b/>
          <w:i/>
        </w:rPr>
        <w:t>Full demolition</w:t>
      </w:r>
      <w:r w:rsidRPr="00FB717D">
        <w:rPr>
          <w:b/>
        </w:rPr>
        <w:t xml:space="preserve"> </w:t>
      </w:r>
      <w:r w:rsidRPr="00FB717D">
        <w:t xml:space="preserve">– When an entire building or piece of equipment is demolished, the asset and accumulated depreciation are written off, and a loss on demolition is recorded to object code 8722, “Loss on Sale/Disposal of Capital Asset” for the difference. The costs associated with the demolition are </w:t>
      </w:r>
      <w:proofErr w:type="gramStart"/>
      <w:r w:rsidRPr="00FB717D">
        <w:t>expensed</w:t>
      </w:r>
      <w:proofErr w:type="gramEnd"/>
      <w:r w:rsidRPr="00FB717D">
        <w:t xml:space="preserve"> as incurred. The write-off of a capital asset must be done in Oracle Fixed Assets by the </w:t>
      </w:r>
      <w:r>
        <w:t>school or unit’s</w:t>
      </w:r>
      <w:r w:rsidRPr="00FB717D">
        <w:t xml:space="preserve"> Financial Office or Fixed Asset Manager. No additional entries are required as Oracle Fixed Assets will record the corresponding loss on disposal and transfer of plant equity. When disposing of assets, any outstanding loans relating to the assets must be settled; contact OTM in these cases.</w:t>
      </w:r>
    </w:p>
    <w:p w14:paraId="7FEB1843" w14:textId="77777777" w:rsidR="00D3782C" w:rsidRPr="008D06DB" w:rsidRDefault="00D3782C" w:rsidP="00E12136">
      <w:pPr>
        <w:pStyle w:val="LevelA0"/>
      </w:pPr>
      <w:r w:rsidRPr="00FB717D">
        <w:t>Departing Staff/Faculty Transfers</w:t>
      </w:r>
    </w:p>
    <w:p w14:paraId="790ECEFA" w14:textId="77777777" w:rsidR="00D3782C" w:rsidRPr="00FB717D" w:rsidRDefault="00D3782C" w:rsidP="00D3782C">
      <w:pPr>
        <w:ind w:left="720"/>
      </w:pPr>
      <w:r w:rsidRPr="00FB717D">
        <w:t>Equipment assets that are transferred with a departing faculty or staff member are handled based on how the assets have been accounted for and who has title to the assets. Note that school or other local policy may apply.</w:t>
      </w:r>
    </w:p>
    <w:p w14:paraId="48274AC6" w14:textId="77777777" w:rsidR="00D3782C" w:rsidRPr="008D06DB" w:rsidRDefault="00D3782C" w:rsidP="00D3782C">
      <w:pPr>
        <w:pStyle w:val="ListParagraph"/>
        <w:numPr>
          <w:ilvl w:val="0"/>
          <w:numId w:val="53"/>
        </w:numPr>
      </w:pPr>
      <w:r w:rsidRPr="008D06DB">
        <w:t>If</w:t>
      </w:r>
      <w:r w:rsidRPr="008D06DB">
        <w:rPr>
          <w:spacing w:val="-4"/>
        </w:rPr>
        <w:t xml:space="preserve"> </w:t>
      </w:r>
      <w:r w:rsidRPr="008D06DB">
        <w:t>the</w:t>
      </w:r>
      <w:r w:rsidRPr="008D06DB">
        <w:rPr>
          <w:spacing w:val="-4"/>
        </w:rPr>
        <w:t xml:space="preserve"> </w:t>
      </w:r>
      <w:r w:rsidRPr="008D06DB">
        <w:t>assets</w:t>
      </w:r>
      <w:r w:rsidRPr="008D06DB">
        <w:rPr>
          <w:spacing w:val="-4"/>
        </w:rPr>
        <w:t xml:space="preserve"> </w:t>
      </w:r>
      <w:r w:rsidRPr="008D06DB">
        <w:t>are</w:t>
      </w:r>
      <w:r w:rsidRPr="008D06DB">
        <w:rPr>
          <w:spacing w:val="-4"/>
        </w:rPr>
        <w:t xml:space="preserve"> </w:t>
      </w:r>
      <w:r w:rsidRPr="008D06DB">
        <w:t>recorded</w:t>
      </w:r>
      <w:r w:rsidRPr="008D06DB">
        <w:rPr>
          <w:spacing w:val="-2"/>
        </w:rPr>
        <w:t xml:space="preserve"> </w:t>
      </w:r>
      <w:r w:rsidRPr="008D06DB">
        <w:t>in</w:t>
      </w:r>
      <w:r w:rsidRPr="008D06DB">
        <w:rPr>
          <w:spacing w:val="-2"/>
        </w:rPr>
        <w:t xml:space="preserve"> </w:t>
      </w:r>
      <w:r w:rsidRPr="008D06DB">
        <w:t>Oracle</w:t>
      </w:r>
      <w:r w:rsidRPr="008D06DB">
        <w:rPr>
          <w:spacing w:val="-4"/>
        </w:rPr>
        <w:t xml:space="preserve"> </w:t>
      </w:r>
      <w:r w:rsidRPr="008D06DB">
        <w:t>Fixed</w:t>
      </w:r>
      <w:r w:rsidRPr="008D06DB">
        <w:rPr>
          <w:spacing w:val="-2"/>
        </w:rPr>
        <w:t xml:space="preserve"> </w:t>
      </w:r>
      <w:r w:rsidRPr="008D06DB">
        <w:t>Assets</w:t>
      </w:r>
      <w:r w:rsidRPr="008D06DB">
        <w:rPr>
          <w:spacing w:val="-5"/>
        </w:rPr>
        <w:t xml:space="preserve"> </w:t>
      </w:r>
      <w:r w:rsidRPr="008D06DB">
        <w:t>at</w:t>
      </w:r>
      <w:r w:rsidRPr="008D06DB">
        <w:rPr>
          <w:spacing w:val="-3"/>
        </w:rPr>
        <w:t xml:space="preserve"> </w:t>
      </w:r>
      <w:r w:rsidRPr="008D06DB">
        <w:t>zero</w:t>
      </w:r>
      <w:r w:rsidRPr="008D06DB">
        <w:rPr>
          <w:spacing w:val="-3"/>
        </w:rPr>
        <w:t xml:space="preserve"> </w:t>
      </w:r>
      <w:r w:rsidRPr="008D06DB">
        <w:t>value</w:t>
      </w:r>
      <w:r w:rsidRPr="008D06DB">
        <w:rPr>
          <w:spacing w:val="-4"/>
        </w:rPr>
        <w:t xml:space="preserve"> </w:t>
      </w:r>
      <w:r w:rsidRPr="008D06DB">
        <w:t>for</w:t>
      </w:r>
      <w:r w:rsidRPr="008D06DB">
        <w:rPr>
          <w:spacing w:val="-3"/>
        </w:rPr>
        <w:t xml:space="preserve"> </w:t>
      </w:r>
      <w:r w:rsidRPr="008D06DB">
        <w:t>the</w:t>
      </w:r>
      <w:r w:rsidRPr="008D06DB">
        <w:rPr>
          <w:spacing w:val="-4"/>
        </w:rPr>
        <w:t xml:space="preserve"> </w:t>
      </w:r>
      <w:r w:rsidRPr="008D06DB">
        <w:t>purposes</w:t>
      </w:r>
      <w:r w:rsidRPr="008D06DB">
        <w:rPr>
          <w:spacing w:val="-4"/>
        </w:rPr>
        <w:t xml:space="preserve"> </w:t>
      </w:r>
      <w:r w:rsidRPr="008D06DB">
        <w:t>of</w:t>
      </w:r>
      <w:r w:rsidRPr="008D06DB">
        <w:rPr>
          <w:spacing w:val="-4"/>
        </w:rPr>
        <w:t xml:space="preserve"> </w:t>
      </w:r>
      <w:r w:rsidRPr="008D06DB">
        <w:t>tracking, then</w:t>
      </w:r>
      <w:r w:rsidRPr="008D06DB">
        <w:rPr>
          <w:spacing w:val="-2"/>
        </w:rPr>
        <w:t xml:space="preserve"> </w:t>
      </w:r>
      <w:r w:rsidRPr="008D06DB">
        <w:t>local</w:t>
      </w:r>
      <w:r w:rsidRPr="008D06DB">
        <w:rPr>
          <w:spacing w:val="-3"/>
        </w:rPr>
        <w:t xml:space="preserve"> </w:t>
      </w:r>
      <w:r w:rsidRPr="008D06DB">
        <w:t>asset managers retire these assets on Oracle Fixed Assets (this would have been done with equipment that was transferred to the University by another institution, by the faculty member). If the University does not have title to these assets, no gain or loss is</w:t>
      </w:r>
      <w:r w:rsidRPr="008D06DB">
        <w:rPr>
          <w:spacing w:val="-18"/>
        </w:rPr>
        <w:t xml:space="preserve"> </w:t>
      </w:r>
      <w:r w:rsidRPr="008D06DB">
        <w:t>recorded.</w:t>
      </w:r>
    </w:p>
    <w:p w14:paraId="266C74CF" w14:textId="77777777" w:rsidR="00D3782C" w:rsidRPr="008D06DB" w:rsidRDefault="00D3782C" w:rsidP="00D3782C">
      <w:pPr>
        <w:pStyle w:val="ListParagraph"/>
        <w:numPr>
          <w:ilvl w:val="0"/>
          <w:numId w:val="53"/>
        </w:numPr>
      </w:pPr>
      <w:r w:rsidRPr="008D06DB">
        <w:lastRenderedPageBreak/>
        <w:t>If the assets belong to the University, then the assets need to be retired, which may result in a loss (if the equipment is not fully depreciated) or a gain (if payment is made upon the transfer of equipment – see also equipment sales above). Depending on the type of transaction (gift or sale to the faculty, staff member) Payroll should be contacted to ensure any benefit to the faculty or staff member is properly recorded. If cash is exchanged</w:t>
      </w:r>
      <w:r w:rsidRPr="008D06DB">
        <w:rPr>
          <w:spacing w:val="-3"/>
        </w:rPr>
        <w:t xml:space="preserve"> </w:t>
      </w:r>
      <w:r w:rsidRPr="008D06DB">
        <w:t>for</w:t>
      </w:r>
      <w:r w:rsidRPr="008D06DB">
        <w:rPr>
          <w:spacing w:val="-4"/>
        </w:rPr>
        <w:t xml:space="preserve"> </w:t>
      </w:r>
      <w:r w:rsidRPr="008D06DB">
        <w:t>the</w:t>
      </w:r>
      <w:r w:rsidRPr="008D06DB">
        <w:rPr>
          <w:spacing w:val="-5"/>
        </w:rPr>
        <w:t xml:space="preserve"> </w:t>
      </w:r>
      <w:r w:rsidRPr="008D06DB">
        <w:t>asset,</w:t>
      </w:r>
      <w:r w:rsidRPr="008D06DB">
        <w:rPr>
          <w:spacing w:val="-3"/>
        </w:rPr>
        <w:t xml:space="preserve"> </w:t>
      </w:r>
      <w:r w:rsidRPr="008D06DB">
        <w:t>contact FAR, in accordance with the requirements of asset sales.</w:t>
      </w:r>
    </w:p>
    <w:p w14:paraId="29C9EBBD" w14:textId="77777777" w:rsidR="00D3782C" w:rsidRPr="008D06DB" w:rsidRDefault="00D3782C" w:rsidP="00D3782C">
      <w:pPr>
        <w:pStyle w:val="ListParagraph"/>
        <w:numPr>
          <w:ilvl w:val="0"/>
          <w:numId w:val="53"/>
        </w:numPr>
      </w:pPr>
      <w:r w:rsidRPr="008D06DB">
        <w:t>Questions</w:t>
      </w:r>
      <w:r w:rsidRPr="008D06DB">
        <w:rPr>
          <w:spacing w:val="-5"/>
        </w:rPr>
        <w:t xml:space="preserve"> </w:t>
      </w:r>
      <w:r w:rsidRPr="008D06DB">
        <w:t>on</w:t>
      </w:r>
      <w:r w:rsidRPr="008D06DB">
        <w:rPr>
          <w:spacing w:val="-3"/>
        </w:rPr>
        <w:t xml:space="preserve"> </w:t>
      </w:r>
      <w:r w:rsidRPr="008D06DB">
        <w:t>how</w:t>
      </w:r>
      <w:r w:rsidRPr="008D06DB">
        <w:rPr>
          <w:spacing w:val="-5"/>
        </w:rPr>
        <w:t xml:space="preserve"> </w:t>
      </w:r>
      <w:r w:rsidRPr="008D06DB">
        <w:t>to</w:t>
      </w:r>
      <w:r w:rsidRPr="008D06DB">
        <w:rPr>
          <w:spacing w:val="-4"/>
        </w:rPr>
        <w:t xml:space="preserve"> </w:t>
      </w:r>
      <w:r w:rsidRPr="008D06DB">
        <w:t>determine</w:t>
      </w:r>
      <w:r w:rsidRPr="008D06DB">
        <w:rPr>
          <w:spacing w:val="-5"/>
        </w:rPr>
        <w:t xml:space="preserve"> </w:t>
      </w:r>
      <w:r w:rsidRPr="008D06DB">
        <w:t>fair</w:t>
      </w:r>
      <w:r w:rsidRPr="008D06DB">
        <w:rPr>
          <w:spacing w:val="-4"/>
        </w:rPr>
        <w:t xml:space="preserve"> </w:t>
      </w:r>
      <w:r w:rsidRPr="008D06DB">
        <w:t>market</w:t>
      </w:r>
      <w:r w:rsidRPr="008D06DB">
        <w:rPr>
          <w:spacing w:val="-1"/>
        </w:rPr>
        <w:t xml:space="preserve"> </w:t>
      </w:r>
      <w:r w:rsidRPr="008D06DB">
        <w:t>value</w:t>
      </w:r>
      <w:r w:rsidRPr="008D06DB">
        <w:rPr>
          <w:spacing w:val="-5"/>
        </w:rPr>
        <w:t xml:space="preserve"> </w:t>
      </w:r>
      <w:r w:rsidRPr="008D06DB">
        <w:t>can</w:t>
      </w:r>
      <w:r w:rsidRPr="008D06DB">
        <w:rPr>
          <w:spacing w:val="-3"/>
        </w:rPr>
        <w:t xml:space="preserve"> </w:t>
      </w:r>
      <w:r w:rsidRPr="008D06DB">
        <w:t>be</w:t>
      </w:r>
      <w:r w:rsidRPr="008D06DB">
        <w:rPr>
          <w:spacing w:val="-5"/>
        </w:rPr>
        <w:t xml:space="preserve"> </w:t>
      </w:r>
      <w:r w:rsidRPr="008D06DB">
        <w:t>directed</w:t>
      </w:r>
      <w:r w:rsidRPr="008D06DB">
        <w:rPr>
          <w:spacing w:val="-3"/>
        </w:rPr>
        <w:t xml:space="preserve"> </w:t>
      </w:r>
      <w:proofErr w:type="gramStart"/>
      <w:r w:rsidRPr="008D06DB">
        <w:t>to</w:t>
      </w:r>
      <w:proofErr w:type="gramEnd"/>
      <w:r w:rsidRPr="008D06DB">
        <w:rPr>
          <w:spacing w:val="-4"/>
        </w:rPr>
        <w:t xml:space="preserve"> </w:t>
      </w:r>
      <w:r w:rsidRPr="008D06DB">
        <w:t>FAR.</w:t>
      </w:r>
    </w:p>
    <w:p w14:paraId="42657086" w14:textId="77777777" w:rsidR="00D3782C" w:rsidRDefault="00D3782C" w:rsidP="00D3782C">
      <w:pPr>
        <w:pStyle w:val="LevelI"/>
      </w:pPr>
      <w:r>
        <w:t>Sponsored Assets</w:t>
      </w:r>
    </w:p>
    <w:p w14:paraId="489AADBB" w14:textId="77777777" w:rsidR="00D3782C" w:rsidRDefault="00D3782C" w:rsidP="00D3782C">
      <w:pPr>
        <w:ind w:left="360"/>
      </w:pPr>
      <w:r w:rsidRPr="00FB717D">
        <w:t>Sponsored assets may require prior approval from the sponsoring agency before disposal or removal from service. For any type of disposal, departments must co</w:t>
      </w:r>
      <w:r w:rsidRPr="00532D3D">
        <w:t xml:space="preserve">mplete the </w:t>
      </w:r>
      <w:hyperlink r:id="rId15" w:history="1">
        <w:r w:rsidRPr="00532D3D">
          <w:rPr>
            <w:rStyle w:val="Hyperlink"/>
            <w:rFonts w:cstheme="minorHAnsi"/>
          </w:rPr>
          <w:t>Equipment Disposal Request Form</w:t>
        </w:r>
      </w:hyperlink>
      <w:r w:rsidRPr="00532D3D">
        <w:t xml:space="preserve"> or equivalent documentation and provide it to their school’s equipment management office. Disposal of sponsored equipment is</w:t>
      </w:r>
      <w:r w:rsidRPr="00532D3D">
        <w:rPr>
          <w:spacing w:val="-5"/>
        </w:rPr>
        <w:t xml:space="preserve"> </w:t>
      </w:r>
      <w:r w:rsidRPr="00532D3D">
        <w:t>subject</w:t>
      </w:r>
      <w:r w:rsidRPr="00532D3D">
        <w:rPr>
          <w:spacing w:val="-4"/>
        </w:rPr>
        <w:t xml:space="preserve"> </w:t>
      </w:r>
      <w:r w:rsidRPr="00532D3D">
        <w:t>to</w:t>
      </w:r>
      <w:r w:rsidRPr="00532D3D">
        <w:rPr>
          <w:spacing w:val="-4"/>
        </w:rPr>
        <w:t xml:space="preserve"> </w:t>
      </w:r>
      <w:r w:rsidRPr="00532D3D">
        <w:t>the</w:t>
      </w:r>
      <w:r w:rsidRPr="00532D3D">
        <w:rPr>
          <w:spacing w:val="-5"/>
        </w:rPr>
        <w:t xml:space="preserve"> </w:t>
      </w:r>
      <w:r w:rsidRPr="00532D3D">
        <w:t>approval</w:t>
      </w:r>
      <w:r w:rsidRPr="00532D3D">
        <w:rPr>
          <w:spacing w:val="-4"/>
        </w:rPr>
        <w:t xml:space="preserve"> </w:t>
      </w:r>
      <w:r w:rsidRPr="00532D3D">
        <w:t>and</w:t>
      </w:r>
      <w:r w:rsidRPr="00532D3D">
        <w:rPr>
          <w:spacing w:val="-3"/>
        </w:rPr>
        <w:t xml:space="preserve"> </w:t>
      </w:r>
      <w:r w:rsidRPr="00532D3D">
        <w:t>conditions</w:t>
      </w:r>
      <w:r w:rsidRPr="00532D3D">
        <w:rPr>
          <w:spacing w:val="-5"/>
        </w:rPr>
        <w:t xml:space="preserve"> </w:t>
      </w:r>
      <w:r w:rsidRPr="00532D3D">
        <w:t>of</w:t>
      </w:r>
      <w:r w:rsidRPr="00532D3D">
        <w:rPr>
          <w:spacing w:val="-5"/>
        </w:rPr>
        <w:t xml:space="preserve"> </w:t>
      </w:r>
      <w:r w:rsidRPr="00532D3D">
        <w:t>the</w:t>
      </w:r>
      <w:r w:rsidRPr="00532D3D">
        <w:rPr>
          <w:spacing w:val="-5"/>
        </w:rPr>
        <w:t xml:space="preserve"> </w:t>
      </w:r>
      <w:r w:rsidRPr="00532D3D">
        <w:t>federal</w:t>
      </w:r>
      <w:r w:rsidRPr="00532D3D">
        <w:rPr>
          <w:spacing w:val="-4"/>
        </w:rPr>
        <w:t xml:space="preserve"> </w:t>
      </w:r>
      <w:r w:rsidRPr="00532D3D">
        <w:t>sponsoring</w:t>
      </w:r>
      <w:r w:rsidRPr="00532D3D">
        <w:rPr>
          <w:spacing w:val="-4"/>
        </w:rPr>
        <w:t xml:space="preserve"> </w:t>
      </w:r>
      <w:r w:rsidRPr="00532D3D">
        <w:t>agency. If the title o</w:t>
      </w:r>
      <w:r w:rsidRPr="00FB717D">
        <w:t xml:space="preserve">f the asset belongs to someone other than Harvard, no gain or loss should be recorded on the transaction. These assets should have </w:t>
      </w:r>
      <w:proofErr w:type="gramStart"/>
      <w:r w:rsidRPr="00FB717D">
        <w:t>a zero</w:t>
      </w:r>
      <w:proofErr w:type="gramEnd"/>
      <w:r w:rsidRPr="00FB717D">
        <w:t xml:space="preserve"> value in Oracle Fixed</w:t>
      </w:r>
      <w:r w:rsidRPr="00FB717D">
        <w:rPr>
          <w:spacing w:val="3"/>
        </w:rPr>
        <w:t xml:space="preserve"> </w:t>
      </w:r>
      <w:r w:rsidRPr="00FB717D">
        <w:t>Assets.</w:t>
      </w:r>
      <w:r>
        <w:t xml:space="preserve"> </w:t>
      </w:r>
      <w:r w:rsidRPr="00FB717D">
        <w:t xml:space="preserve">See </w:t>
      </w:r>
      <w:hyperlink w:anchor="Appendix_A" w:history="1">
        <w:r w:rsidRPr="00FB717D">
          <w:rPr>
            <w:rStyle w:val="Hyperlink"/>
            <w:rFonts w:cstheme="minorHAnsi"/>
          </w:rPr>
          <w:t>Appendix A</w:t>
        </w:r>
      </w:hyperlink>
      <w:r w:rsidRPr="00FB717D">
        <w:t xml:space="preserve"> for more information on sponsored</w:t>
      </w:r>
      <w:r>
        <w:t xml:space="preserve"> assets.</w:t>
      </w:r>
    </w:p>
    <w:p w14:paraId="7107ABBC" w14:textId="77777777" w:rsidR="00D3782C" w:rsidRPr="00FB717D" w:rsidRDefault="00D3782C" w:rsidP="00D3782C">
      <w:pPr>
        <w:pStyle w:val="LevelI"/>
      </w:pPr>
      <w:r w:rsidRPr="00FB717D">
        <w:t>Writing Off Work in Progress/Construction in Progress (WIP/CIP)</w:t>
      </w:r>
    </w:p>
    <w:p w14:paraId="4E542C1B" w14:textId="77777777" w:rsidR="00D3782C" w:rsidRDefault="00D3782C" w:rsidP="00D3782C">
      <w:pPr>
        <w:ind w:left="360"/>
      </w:pPr>
      <w:r w:rsidRPr="00FB717D">
        <w:t xml:space="preserve">Equipment </w:t>
      </w:r>
      <w:proofErr w:type="gramStart"/>
      <w:r w:rsidRPr="00FB717D">
        <w:t>work</w:t>
      </w:r>
      <w:proofErr w:type="gramEnd"/>
      <w:r w:rsidRPr="00FB717D">
        <w:t xml:space="preserve"> in progress and/or construction in progress costs that have been on the </w:t>
      </w:r>
      <w:r>
        <w:t>general ledger</w:t>
      </w:r>
      <w:r w:rsidRPr="00FB717D">
        <w:t xml:space="preserve"> for an extended period of time (i.e., more than one year) where the project has been either abandoned or significantly altered from its original plan must be written off. A loss is recorded to object code 8722, “Loss on sale/disposal of capital asset.</w:t>
      </w:r>
    </w:p>
    <w:p w14:paraId="0E2CD55D" w14:textId="77777777" w:rsidR="00D3782C" w:rsidRPr="00FB717D" w:rsidRDefault="00D3782C" w:rsidP="00D3782C">
      <w:pPr>
        <w:pStyle w:val="LevelI"/>
      </w:pPr>
      <w:r w:rsidRPr="00FB717D">
        <w:t xml:space="preserve">Assets No Longer </w:t>
      </w:r>
      <w:r>
        <w:t>i</w:t>
      </w:r>
      <w:r w:rsidRPr="00FB717D">
        <w:t>n Service</w:t>
      </w:r>
    </w:p>
    <w:p w14:paraId="6902042F" w14:textId="77777777" w:rsidR="00D3782C" w:rsidRDefault="00D3782C" w:rsidP="00D3782C">
      <w:pPr>
        <w:ind w:left="360"/>
        <w:rPr>
          <w:rFonts w:cstheme="minorHAnsi"/>
        </w:rPr>
      </w:pPr>
      <w:r w:rsidRPr="00FB717D">
        <w:rPr>
          <w:rFonts w:cstheme="minorHAnsi"/>
        </w:rPr>
        <w:t>If assets are no longer in service, they must be written down to their estimated remaining value or, in some cases, written off entirely. This write-down or write-off is accounted for in the same manner described in the “Sales of assets” and “Demolition” sections of this document</w:t>
      </w:r>
      <w:r>
        <w:rPr>
          <w:rFonts w:cstheme="minorHAnsi"/>
        </w:rPr>
        <w:t>.</w:t>
      </w:r>
    </w:p>
    <w:p w14:paraId="0D677025" w14:textId="77777777" w:rsidR="00D3782C" w:rsidRPr="00F31CAC" w:rsidRDefault="00D3782C" w:rsidP="00D3782C">
      <w:pPr>
        <w:pStyle w:val="LevelI"/>
      </w:pPr>
      <w:r w:rsidRPr="00FB717D">
        <w:t xml:space="preserve">Accounting </w:t>
      </w:r>
      <w:r>
        <w:t>f</w:t>
      </w:r>
      <w:r w:rsidRPr="00FB717D">
        <w:t>or Fully Depreciated Assets</w:t>
      </w:r>
    </w:p>
    <w:p w14:paraId="5445F296" w14:textId="77777777" w:rsidR="00D3782C" w:rsidRPr="00FB717D" w:rsidRDefault="00D3782C" w:rsidP="00D3782C">
      <w:pPr>
        <w:ind w:left="360"/>
      </w:pPr>
      <w:r w:rsidRPr="00FB717D">
        <w:t xml:space="preserve">Assets that are fully depreciated (i.e., the </w:t>
      </w:r>
      <w:proofErr w:type="gramStart"/>
      <w:r w:rsidRPr="00FB717D">
        <w:t>net book</w:t>
      </w:r>
      <w:proofErr w:type="gramEnd"/>
      <w:r w:rsidRPr="00FB717D">
        <w:t xml:space="preserve"> value of the historical cost less accumulated depreciation is zero) </w:t>
      </w:r>
      <w:r w:rsidRPr="00FB717D">
        <w:rPr>
          <w:b/>
          <w:u w:val="single"/>
        </w:rPr>
        <w:t>and</w:t>
      </w:r>
      <w:r w:rsidRPr="00FB717D">
        <w:t xml:space="preserve"> that are no longer in use must be written off. This process is performed at the </w:t>
      </w:r>
      <w:r>
        <w:t>School or unit</w:t>
      </w:r>
      <w:r w:rsidRPr="00FB717D">
        <w:t xml:space="preserve"> level in Oracle Fixed Assets.</w:t>
      </w:r>
    </w:p>
    <w:p w14:paraId="1A7858B5" w14:textId="77777777" w:rsidR="00D3782C" w:rsidRDefault="00D3782C" w:rsidP="00D3782C">
      <w:pPr>
        <w:pStyle w:val="LevelI"/>
      </w:pPr>
      <w:r>
        <w:t>Physical Inventories</w:t>
      </w:r>
    </w:p>
    <w:p w14:paraId="15EFE708" w14:textId="77777777" w:rsidR="00D3782C" w:rsidRPr="00FB717D" w:rsidRDefault="00D3782C" w:rsidP="00D3782C">
      <w:pPr>
        <w:ind w:left="360"/>
      </w:pPr>
      <w:r w:rsidRPr="00FB717D">
        <w:t>Discrepancies noted during a physical inventory are to be recorded in conjunction with the completion of the physical inventory. Any inventory discrepancies noted during the inventory must be written off in Oracle Fixed Assets. The corresponding loss will be recorded to object code 8722, “Loss on sale</w:t>
      </w:r>
      <w:r>
        <w:t xml:space="preserve"> or </w:t>
      </w:r>
      <w:r w:rsidRPr="00FB717D">
        <w:t>disposal of capital asset.” In addition, any assets that are found to be impaired must be written down to their estimated remaining value.</w:t>
      </w:r>
    </w:p>
    <w:p w14:paraId="2F7ED820" w14:textId="77777777" w:rsidR="00D3782C" w:rsidRDefault="00D3782C" w:rsidP="00D3782C">
      <w:pPr>
        <w:pStyle w:val="LevelI"/>
      </w:pPr>
      <w:r>
        <w:t>Disposition</w:t>
      </w:r>
    </w:p>
    <w:p w14:paraId="303622A3" w14:textId="77777777" w:rsidR="00D3782C" w:rsidRPr="00FB717D" w:rsidRDefault="00D3782C" w:rsidP="00D3782C">
      <w:pPr>
        <w:ind w:left="360"/>
      </w:pPr>
      <w:r w:rsidRPr="00FB717D">
        <w:t xml:space="preserve">Disposition is the process of removing equipment from inventory that has no further University use. Any piece of capital equipment that no longer functions or for which Harvard has no further use must be physically disposed of and removed from University records. </w:t>
      </w:r>
      <w:r w:rsidRPr="00FB717D">
        <w:rPr>
          <w:bCs/>
          <w:i/>
          <w:color w:val="000000"/>
        </w:rPr>
        <w:t xml:space="preserve">The Oracle Fixed Assets system refers to dispositions as “retirements.” </w:t>
      </w:r>
      <w:r w:rsidRPr="00FB717D">
        <w:t>Disposition is required when equipment is:</w:t>
      </w:r>
    </w:p>
    <w:p w14:paraId="27DB86FB" w14:textId="77777777" w:rsidR="00D3782C" w:rsidRPr="005B3E7F" w:rsidRDefault="00D3782C" w:rsidP="00D3782C">
      <w:pPr>
        <w:pStyle w:val="ListParagraph"/>
        <w:numPr>
          <w:ilvl w:val="0"/>
          <w:numId w:val="54"/>
        </w:numPr>
      </w:pPr>
      <w:r w:rsidRPr="005B3E7F">
        <w:t>No longer in use nor expected to have future</w:t>
      </w:r>
      <w:r w:rsidRPr="005B3E7F">
        <w:rPr>
          <w:spacing w:val="-25"/>
        </w:rPr>
        <w:t xml:space="preserve"> </w:t>
      </w:r>
      <w:proofErr w:type="gramStart"/>
      <w:r w:rsidRPr="005B3E7F">
        <w:t>use;</w:t>
      </w:r>
      <w:proofErr w:type="gramEnd"/>
    </w:p>
    <w:p w14:paraId="2BD614C4" w14:textId="77777777" w:rsidR="00D3782C" w:rsidRPr="005B3E7F" w:rsidRDefault="00D3782C" w:rsidP="00D3782C">
      <w:pPr>
        <w:pStyle w:val="ListParagraph"/>
        <w:numPr>
          <w:ilvl w:val="0"/>
          <w:numId w:val="54"/>
        </w:numPr>
      </w:pPr>
      <w:r w:rsidRPr="005B3E7F">
        <w:t>No</w:t>
      </w:r>
      <w:r w:rsidRPr="005B3E7F">
        <w:rPr>
          <w:spacing w:val="-4"/>
        </w:rPr>
        <w:t xml:space="preserve"> </w:t>
      </w:r>
      <w:r w:rsidRPr="005B3E7F">
        <w:t>longer</w:t>
      </w:r>
      <w:r w:rsidRPr="005B3E7F">
        <w:rPr>
          <w:spacing w:val="-5"/>
        </w:rPr>
        <w:t xml:space="preserve"> </w:t>
      </w:r>
      <w:r w:rsidRPr="005B3E7F">
        <w:t>the</w:t>
      </w:r>
      <w:r w:rsidRPr="005B3E7F">
        <w:rPr>
          <w:spacing w:val="-5"/>
        </w:rPr>
        <w:t xml:space="preserve"> </w:t>
      </w:r>
      <w:r w:rsidRPr="005B3E7F">
        <w:t>responsibility</w:t>
      </w:r>
      <w:r w:rsidRPr="005B3E7F">
        <w:rPr>
          <w:spacing w:val="-4"/>
        </w:rPr>
        <w:t xml:space="preserve"> </w:t>
      </w:r>
      <w:r w:rsidRPr="005B3E7F">
        <w:t>of</w:t>
      </w:r>
      <w:r w:rsidRPr="005B3E7F">
        <w:rPr>
          <w:spacing w:val="-5"/>
        </w:rPr>
        <w:t xml:space="preserve"> </w:t>
      </w:r>
      <w:r w:rsidRPr="005B3E7F">
        <w:t>Harvard</w:t>
      </w:r>
      <w:r w:rsidRPr="005B3E7F">
        <w:rPr>
          <w:spacing w:val="-4"/>
        </w:rPr>
        <w:t xml:space="preserve"> </w:t>
      </w:r>
      <w:r w:rsidRPr="005B3E7F">
        <w:t>University</w:t>
      </w:r>
      <w:r w:rsidRPr="005B3E7F">
        <w:rPr>
          <w:spacing w:val="-4"/>
        </w:rPr>
        <w:t xml:space="preserve"> </w:t>
      </w:r>
      <w:r w:rsidRPr="005B3E7F">
        <w:t>(e.g.,</w:t>
      </w:r>
      <w:r w:rsidRPr="005B3E7F">
        <w:rPr>
          <w:spacing w:val="-4"/>
        </w:rPr>
        <w:t xml:space="preserve"> </w:t>
      </w:r>
      <w:r w:rsidRPr="005B3E7F">
        <w:t>transferred</w:t>
      </w:r>
      <w:r w:rsidRPr="005B3E7F">
        <w:rPr>
          <w:spacing w:val="-4"/>
        </w:rPr>
        <w:t xml:space="preserve"> </w:t>
      </w:r>
      <w:r w:rsidRPr="005B3E7F">
        <w:t>or</w:t>
      </w:r>
      <w:r w:rsidRPr="005B3E7F">
        <w:rPr>
          <w:spacing w:val="-5"/>
        </w:rPr>
        <w:t xml:space="preserve"> </w:t>
      </w:r>
      <w:r w:rsidRPr="005B3E7F">
        <w:t>sold);</w:t>
      </w:r>
      <w:r w:rsidRPr="005B3E7F">
        <w:rPr>
          <w:spacing w:val="-5"/>
        </w:rPr>
        <w:t xml:space="preserve"> </w:t>
      </w:r>
      <w:r w:rsidRPr="005B3E7F">
        <w:t>or</w:t>
      </w:r>
    </w:p>
    <w:p w14:paraId="4EE764EA" w14:textId="77777777" w:rsidR="00D3782C" w:rsidRPr="005B3E7F" w:rsidRDefault="00D3782C" w:rsidP="00D3782C">
      <w:pPr>
        <w:pStyle w:val="ListParagraph"/>
        <w:numPr>
          <w:ilvl w:val="0"/>
          <w:numId w:val="54"/>
        </w:numPr>
      </w:pPr>
      <w:r w:rsidRPr="005B3E7F">
        <w:lastRenderedPageBreak/>
        <w:t>No longer part of the inventory of active</w:t>
      </w:r>
      <w:r w:rsidRPr="005B3E7F">
        <w:rPr>
          <w:spacing w:val="-24"/>
        </w:rPr>
        <w:t xml:space="preserve"> </w:t>
      </w:r>
      <w:r w:rsidRPr="005B3E7F">
        <w:t>items</w:t>
      </w:r>
    </w:p>
    <w:p w14:paraId="1E174A50" w14:textId="77777777" w:rsidR="00D3782C" w:rsidRPr="00FB717D" w:rsidRDefault="00D3782C" w:rsidP="00D3782C">
      <w:pPr>
        <w:ind w:left="360"/>
      </w:pPr>
      <w:r w:rsidRPr="00FB717D">
        <w:t>Equipment purchased with federal or other sponsor</w:t>
      </w:r>
      <w:r>
        <w:t>ed</w:t>
      </w:r>
      <w:r w:rsidRPr="00FB717D">
        <w:t xml:space="preserve"> funds </w:t>
      </w:r>
      <w:proofErr w:type="gramStart"/>
      <w:r w:rsidRPr="00FB717D">
        <w:t>are</w:t>
      </w:r>
      <w:proofErr w:type="gramEnd"/>
      <w:r w:rsidRPr="00FB717D">
        <w:t xml:space="preserve"> often subject to sponsor-specific disposition restrictions and cannot be disposed of without prior approva</w:t>
      </w:r>
      <w:r w:rsidRPr="003A5F8F">
        <w:t>l. The</w:t>
      </w:r>
      <w:hyperlink r:id="rId16" w:history="1">
        <w:r w:rsidRPr="003A5F8F">
          <w:rPr>
            <w:rStyle w:val="Hyperlink"/>
            <w:rFonts w:cstheme="minorHAnsi"/>
          </w:rPr>
          <w:t xml:space="preserve"> Equipment Disposal Request Form</w:t>
        </w:r>
      </w:hyperlink>
      <w:r w:rsidRPr="003A5F8F">
        <w:t xml:space="preserve"> is required for disposition of equipment.</w:t>
      </w:r>
    </w:p>
    <w:p w14:paraId="7E8AA8B7" w14:textId="77777777" w:rsidR="00D3782C" w:rsidRPr="00FB717D" w:rsidRDefault="00D3782C" w:rsidP="00D3782C">
      <w:pPr>
        <w:ind w:left="360"/>
      </w:pPr>
      <w:r w:rsidRPr="00FB717D">
        <w:t xml:space="preserve">If equipment is being retained for parts only, the status in </w:t>
      </w:r>
      <w:r>
        <w:t>Oracle Fixed Assets</w:t>
      </w:r>
      <w:r w:rsidRPr="00FB717D">
        <w:t xml:space="preserve"> must be changed to “scrap</w:t>
      </w:r>
      <w:r>
        <w:t>.</w:t>
      </w:r>
      <w:r w:rsidRPr="00FB717D">
        <w:t>”</w:t>
      </w:r>
    </w:p>
    <w:p w14:paraId="28776387" w14:textId="77777777" w:rsidR="00D3782C" w:rsidRPr="00FB717D" w:rsidRDefault="00D3782C" w:rsidP="00D3782C">
      <w:pPr>
        <w:ind w:left="360"/>
      </w:pPr>
      <w:r w:rsidRPr="00FB717D">
        <w:t>Tags must be physically removed from equipment upon disposition (but NOT upon impairment)</w:t>
      </w:r>
      <w:r>
        <w:t>.</w:t>
      </w:r>
    </w:p>
    <w:p w14:paraId="0731ED04" w14:textId="77777777" w:rsidR="00D3782C" w:rsidRPr="000E5568" w:rsidRDefault="00D3782C" w:rsidP="00D3782C">
      <w:pPr>
        <w:ind w:left="360"/>
        <w:rPr>
          <w:bCs/>
          <w:color w:val="000000"/>
        </w:rPr>
      </w:pPr>
      <w:r w:rsidRPr="000E5568">
        <w:rPr>
          <w:bCs/>
          <w:i/>
          <w:color w:val="000000"/>
        </w:rPr>
        <w:t>Special Note: equipment disposition requires careful coordination with multiple offices and may have hazardous waste, sensitive data restrictions, and other concerns. Contact your area equipment manager or facilities manager for guidance.</w:t>
      </w:r>
    </w:p>
    <w:p w14:paraId="215E640F" w14:textId="77777777" w:rsidR="00D3782C" w:rsidRDefault="00D3782C" w:rsidP="00D3782C">
      <w:pPr>
        <w:pStyle w:val="LevelI"/>
      </w:pPr>
      <w:r>
        <w:t>Retirement</w:t>
      </w:r>
    </w:p>
    <w:p w14:paraId="3D31505E" w14:textId="77777777" w:rsidR="00D3782C" w:rsidRPr="00FB717D" w:rsidRDefault="00D3782C" w:rsidP="00D3782C">
      <w:pPr>
        <w:ind w:left="576"/>
      </w:pPr>
      <w:r w:rsidRPr="00FB717D">
        <w:t xml:space="preserve">Retirement is the process by which capital equipment owned by Harvard or for which Harvard is responsible is permanently removed from the University’s inventory records. Retirements must be processed in the event of physical disposal, loss or theft, external sale or transfer, trade-in, donation, salvage, or return of capital equipment. Any piece of capital equipment which has ceased to function or for which the University has no future use should be physically disposed of and must be updated in Oracle Fixed Assets to reflect accurate valuation and be removed from any inventory records. </w:t>
      </w:r>
    </w:p>
    <w:p w14:paraId="27E4F37A" w14:textId="77777777" w:rsidR="00D3782C" w:rsidRPr="00FB717D" w:rsidRDefault="00D3782C" w:rsidP="00D3782C">
      <w:pPr>
        <w:ind w:left="576"/>
      </w:pPr>
      <w:r w:rsidRPr="00FB717D">
        <w:t>It is the responsibility of the faculty member or department to request approval and disposition instructions from the area equipment manager before capital equipment is removed from University premises and oversight. Any transaction involving a sale, trade-in, or cross-</w:t>
      </w:r>
      <w:r>
        <w:t>school or unit</w:t>
      </w:r>
      <w:r w:rsidRPr="00FB717D">
        <w:t xml:space="preserve"> transfers of capital equipment must also be coordinated with the Financial Accounting and Reporting office (FAR). </w:t>
      </w:r>
    </w:p>
    <w:p w14:paraId="155D542F" w14:textId="77777777" w:rsidR="00D3782C" w:rsidRPr="00FB717D" w:rsidRDefault="00D3782C" w:rsidP="00E12136">
      <w:pPr>
        <w:pStyle w:val="LevelA0"/>
        <w:numPr>
          <w:ilvl w:val="0"/>
          <w:numId w:val="60"/>
        </w:numPr>
      </w:pPr>
      <w:r w:rsidRPr="00FB717D">
        <w:t>Retirement of Computer Equipment</w:t>
      </w:r>
    </w:p>
    <w:p w14:paraId="38733FC7" w14:textId="77777777" w:rsidR="00D3782C" w:rsidRPr="00FB717D" w:rsidRDefault="00D3782C" w:rsidP="00D3782C">
      <w:pPr>
        <w:ind w:left="720"/>
      </w:pPr>
      <w:r w:rsidRPr="00FB717D">
        <w:t>Massachusetts law and Harvard policy require that electronic media containing confidential information be destroyed or thoroughly erased so that such information cannot be read or reconstructed. In addition, Harvard's license does not permit the transfer of operating systems</w:t>
      </w:r>
      <w:r>
        <w:t xml:space="preserve"> or other software outside the U</w:t>
      </w:r>
      <w:r w:rsidRPr="00FB717D">
        <w:t xml:space="preserve">niversity. Applications that provide for secure disk erasure and meet these requirements are available for Windows computers (e.g. proposed FAS standard CMRR </w:t>
      </w:r>
      <w:hyperlink r:id="rId17" w:history="1">
        <w:r w:rsidRPr="00FB717D">
          <w:rPr>
            <w:rStyle w:val="Hyperlink"/>
            <w:rFonts w:cstheme="minorHAnsi"/>
          </w:rPr>
          <w:t>Secure Disk Erase</w:t>
        </w:r>
      </w:hyperlink>
      <w:r w:rsidRPr="00FB717D">
        <w:t xml:space="preserve">). A secure file erasure function is built into Mac OSX. See </w:t>
      </w:r>
      <w:hyperlink r:id="rId18" w:history="1">
        <w:r w:rsidRPr="00FB717D">
          <w:rPr>
            <w:rStyle w:val="Hyperlink"/>
            <w:rFonts w:cstheme="minorHAnsi"/>
          </w:rPr>
          <w:t>Secure Recycle of University Computers</w:t>
        </w:r>
      </w:hyperlink>
      <w:r w:rsidRPr="00FB717D">
        <w:t xml:space="preserve"> and contact your HUIT or your local Computer Resources or IT Department for additional guidance.</w:t>
      </w:r>
    </w:p>
    <w:p w14:paraId="386291AE" w14:textId="77777777" w:rsidR="00D3782C" w:rsidRPr="00FB717D" w:rsidRDefault="00D3782C" w:rsidP="00E12136">
      <w:pPr>
        <w:pStyle w:val="LevelA0"/>
      </w:pPr>
      <w:r w:rsidRPr="00FB717D">
        <w:t>Retirement of Sponsor-Funded or Sponsor-Titled Equipment</w:t>
      </w:r>
      <w:r>
        <w:t xml:space="preserve">. See </w:t>
      </w:r>
      <w:hyperlink w:anchor="Appendix_A_Retirement" w:history="1">
        <w:r w:rsidRPr="0068247E">
          <w:rPr>
            <w:rStyle w:val="Hyperlink"/>
          </w:rPr>
          <w:t xml:space="preserve">Appendix A </w:t>
        </w:r>
      </w:hyperlink>
      <w:r>
        <w:t xml:space="preserve">and </w:t>
      </w:r>
      <w:hyperlink w:anchor="Appendix_D_Disposals" w:history="1">
        <w:r w:rsidRPr="0068247E">
          <w:rPr>
            <w:rStyle w:val="Hyperlink"/>
          </w:rPr>
          <w:t>D</w:t>
        </w:r>
      </w:hyperlink>
      <w:r>
        <w:t>.</w:t>
      </w:r>
    </w:p>
    <w:p w14:paraId="387B98A1" w14:textId="77777777" w:rsidR="00D3782C" w:rsidRDefault="00D3782C" w:rsidP="00D3782C">
      <w:pPr>
        <w:pStyle w:val="LevelI"/>
      </w:pPr>
      <w:r>
        <w:t>Impairment</w:t>
      </w:r>
    </w:p>
    <w:p w14:paraId="789B18D9" w14:textId="77777777" w:rsidR="00D3782C" w:rsidRPr="00FB717D" w:rsidRDefault="00D3782C" w:rsidP="00D3782C">
      <w:pPr>
        <w:ind w:left="360"/>
      </w:pPr>
      <w:r w:rsidRPr="00FB717D">
        <w:t xml:space="preserve">If assets have been permanently impaired, whether by damage, neglect, technological obsolescence, renovating or demolishing a building, or a change in the economic landscape, such that future expected cash flows from the assets are less than their net book value on the balance sheet, the assets must be written down to their estimated remaining value or, in some cases, written off entirely. Account for this write-down or write-off in the same manner as described in the “Sales of assets” and “Demolition” sections of this document. Partially impaired equipment assets </w:t>
      </w:r>
      <w:r w:rsidRPr="00FB717D">
        <w:rPr>
          <w:bCs/>
          <w:color w:val="000000"/>
        </w:rPr>
        <w:t xml:space="preserve">remain part of the University’s physical inventory. The Oracle Fixed Assets system refers to impairments as “partial retirements.” </w:t>
      </w:r>
    </w:p>
    <w:p w14:paraId="71153E28" w14:textId="77777777" w:rsidR="00D3782C" w:rsidRPr="00FB717D" w:rsidRDefault="00D3782C" w:rsidP="00D3782C">
      <w:pPr>
        <w:ind w:left="360"/>
      </w:pPr>
      <w:r w:rsidRPr="00FB717D">
        <w:lastRenderedPageBreak/>
        <w:t xml:space="preserve">Impairment is defined as the condition that exists when the carrying amount of a long-lived asset exceeds its fair value. Assets should be tested for recoverability whenever events or changes in circumstances indicate that </w:t>
      </w:r>
      <w:proofErr w:type="gramStart"/>
      <w:r w:rsidRPr="00FB717D">
        <w:t>its</w:t>
      </w:r>
      <w:proofErr w:type="gramEnd"/>
      <w:r w:rsidRPr="00FB717D">
        <w:t xml:space="preserve"> carrying amount may not be recoverable. The following are examples of such events from ASC 360-10 Property, Plant and Equipment:</w:t>
      </w:r>
    </w:p>
    <w:p w14:paraId="56FE7226" w14:textId="77777777" w:rsidR="00D3782C" w:rsidRPr="00773227" w:rsidRDefault="00D3782C" w:rsidP="00D3782C">
      <w:pPr>
        <w:pStyle w:val="ListParagraph"/>
        <w:numPr>
          <w:ilvl w:val="0"/>
          <w:numId w:val="55"/>
        </w:numPr>
      </w:pPr>
      <w:r w:rsidRPr="00773227">
        <w:t>A</w:t>
      </w:r>
      <w:r w:rsidRPr="00773227">
        <w:rPr>
          <w:spacing w:val="-4"/>
        </w:rPr>
        <w:t xml:space="preserve"> </w:t>
      </w:r>
      <w:r w:rsidRPr="00773227">
        <w:t>significant</w:t>
      </w:r>
      <w:r w:rsidRPr="00773227">
        <w:rPr>
          <w:spacing w:val="-4"/>
        </w:rPr>
        <w:t xml:space="preserve"> </w:t>
      </w:r>
      <w:r w:rsidRPr="00773227">
        <w:t>decrease</w:t>
      </w:r>
      <w:r w:rsidRPr="00773227">
        <w:rPr>
          <w:spacing w:val="-5"/>
        </w:rPr>
        <w:t xml:space="preserve"> </w:t>
      </w:r>
      <w:r w:rsidRPr="00773227">
        <w:t>in</w:t>
      </w:r>
      <w:r w:rsidRPr="00773227">
        <w:rPr>
          <w:spacing w:val="-3"/>
        </w:rPr>
        <w:t xml:space="preserve"> </w:t>
      </w:r>
      <w:r w:rsidRPr="00773227">
        <w:t>the</w:t>
      </w:r>
      <w:r w:rsidRPr="00773227">
        <w:rPr>
          <w:spacing w:val="-2"/>
        </w:rPr>
        <w:t xml:space="preserve"> </w:t>
      </w:r>
      <w:r w:rsidRPr="00773227">
        <w:t>market</w:t>
      </w:r>
      <w:r w:rsidRPr="00773227">
        <w:rPr>
          <w:spacing w:val="-4"/>
        </w:rPr>
        <w:t xml:space="preserve"> </w:t>
      </w:r>
      <w:r w:rsidRPr="00773227">
        <w:t>price</w:t>
      </w:r>
      <w:r w:rsidRPr="00773227">
        <w:rPr>
          <w:spacing w:val="-5"/>
        </w:rPr>
        <w:t xml:space="preserve"> </w:t>
      </w:r>
      <w:r w:rsidRPr="00773227">
        <w:t>of</w:t>
      </w:r>
      <w:r w:rsidRPr="00773227">
        <w:rPr>
          <w:spacing w:val="-5"/>
        </w:rPr>
        <w:t xml:space="preserve"> </w:t>
      </w:r>
      <w:r w:rsidRPr="00773227">
        <w:t>a</w:t>
      </w:r>
      <w:r w:rsidRPr="00773227">
        <w:rPr>
          <w:spacing w:val="-4"/>
        </w:rPr>
        <w:t xml:space="preserve"> </w:t>
      </w:r>
      <w:r w:rsidRPr="00773227">
        <w:t>long-lived</w:t>
      </w:r>
      <w:r w:rsidRPr="00773227">
        <w:rPr>
          <w:spacing w:val="-3"/>
        </w:rPr>
        <w:t xml:space="preserve"> </w:t>
      </w:r>
      <w:r w:rsidRPr="00773227">
        <w:t>asset</w:t>
      </w:r>
      <w:r w:rsidRPr="00773227">
        <w:rPr>
          <w:spacing w:val="-4"/>
        </w:rPr>
        <w:t xml:space="preserve"> </w:t>
      </w:r>
      <w:r w:rsidRPr="00773227">
        <w:t>(asset</w:t>
      </w:r>
      <w:r w:rsidRPr="00773227">
        <w:rPr>
          <w:spacing w:val="-4"/>
        </w:rPr>
        <w:t xml:space="preserve"> </w:t>
      </w:r>
      <w:r w:rsidRPr="00773227">
        <w:t>group)</w:t>
      </w:r>
    </w:p>
    <w:p w14:paraId="7A6E121D" w14:textId="77777777" w:rsidR="00D3782C" w:rsidRPr="00773227" w:rsidRDefault="00D3782C" w:rsidP="00D3782C">
      <w:pPr>
        <w:pStyle w:val="ListParagraph"/>
        <w:numPr>
          <w:ilvl w:val="0"/>
          <w:numId w:val="55"/>
        </w:numPr>
      </w:pPr>
      <w:r w:rsidRPr="00773227">
        <w:t>A</w:t>
      </w:r>
      <w:r w:rsidRPr="00773227">
        <w:rPr>
          <w:spacing w:val="-3"/>
        </w:rPr>
        <w:t xml:space="preserve"> </w:t>
      </w:r>
      <w:r w:rsidRPr="00773227">
        <w:t>significant</w:t>
      </w:r>
      <w:r w:rsidRPr="00773227">
        <w:rPr>
          <w:spacing w:val="-3"/>
        </w:rPr>
        <w:t xml:space="preserve"> </w:t>
      </w:r>
      <w:r w:rsidRPr="00773227">
        <w:t>adverse</w:t>
      </w:r>
      <w:r w:rsidRPr="00773227">
        <w:rPr>
          <w:spacing w:val="-4"/>
        </w:rPr>
        <w:t xml:space="preserve"> </w:t>
      </w:r>
      <w:r w:rsidRPr="00773227">
        <w:t>change</w:t>
      </w:r>
      <w:r w:rsidRPr="00773227">
        <w:rPr>
          <w:spacing w:val="-4"/>
        </w:rPr>
        <w:t xml:space="preserve"> </w:t>
      </w:r>
      <w:r w:rsidRPr="00773227">
        <w:t>in</w:t>
      </w:r>
      <w:r w:rsidRPr="00773227">
        <w:rPr>
          <w:spacing w:val="-2"/>
        </w:rPr>
        <w:t xml:space="preserve"> </w:t>
      </w:r>
      <w:r w:rsidRPr="00773227">
        <w:t>the</w:t>
      </w:r>
      <w:r w:rsidRPr="00773227">
        <w:rPr>
          <w:spacing w:val="-4"/>
        </w:rPr>
        <w:t xml:space="preserve"> </w:t>
      </w:r>
      <w:r w:rsidRPr="00773227">
        <w:t>extent</w:t>
      </w:r>
      <w:r w:rsidRPr="00773227">
        <w:rPr>
          <w:spacing w:val="-3"/>
        </w:rPr>
        <w:t xml:space="preserve"> </w:t>
      </w:r>
      <w:r w:rsidRPr="00773227">
        <w:t>or</w:t>
      </w:r>
      <w:r w:rsidRPr="00773227">
        <w:rPr>
          <w:spacing w:val="-3"/>
        </w:rPr>
        <w:t xml:space="preserve"> </w:t>
      </w:r>
      <w:r w:rsidRPr="00773227">
        <w:t>manner</w:t>
      </w:r>
      <w:r w:rsidRPr="00773227">
        <w:rPr>
          <w:spacing w:val="-3"/>
        </w:rPr>
        <w:t xml:space="preserve"> </w:t>
      </w:r>
      <w:r w:rsidRPr="00773227">
        <w:t>in</w:t>
      </w:r>
      <w:r w:rsidRPr="00773227">
        <w:rPr>
          <w:spacing w:val="-2"/>
        </w:rPr>
        <w:t xml:space="preserve"> </w:t>
      </w:r>
      <w:r w:rsidRPr="00773227">
        <w:t>which</w:t>
      </w:r>
      <w:r w:rsidRPr="00773227">
        <w:rPr>
          <w:spacing w:val="-2"/>
        </w:rPr>
        <w:t xml:space="preserve"> </w:t>
      </w:r>
      <w:r w:rsidRPr="00773227">
        <w:t>a</w:t>
      </w:r>
      <w:r w:rsidRPr="00773227">
        <w:rPr>
          <w:spacing w:val="-3"/>
        </w:rPr>
        <w:t xml:space="preserve"> </w:t>
      </w:r>
      <w:r w:rsidRPr="00773227">
        <w:t>long-lived</w:t>
      </w:r>
      <w:r w:rsidRPr="00773227">
        <w:rPr>
          <w:spacing w:val="-2"/>
        </w:rPr>
        <w:t xml:space="preserve"> </w:t>
      </w:r>
      <w:r w:rsidRPr="00773227">
        <w:t>asset</w:t>
      </w:r>
      <w:r w:rsidRPr="00773227">
        <w:rPr>
          <w:spacing w:val="-3"/>
        </w:rPr>
        <w:t xml:space="preserve"> </w:t>
      </w:r>
      <w:r w:rsidRPr="00773227">
        <w:t>(asset</w:t>
      </w:r>
      <w:r w:rsidRPr="00773227">
        <w:rPr>
          <w:spacing w:val="-3"/>
        </w:rPr>
        <w:t xml:space="preserve"> </w:t>
      </w:r>
      <w:r w:rsidRPr="00773227">
        <w:t>group)</w:t>
      </w:r>
      <w:r w:rsidRPr="00773227">
        <w:rPr>
          <w:spacing w:val="-3"/>
        </w:rPr>
        <w:t xml:space="preserve"> </w:t>
      </w:r>
      <w:r w:rsidRPr="00773227">
        <w:t>is</w:t>
      </w:r>
      <w:r w:rsidRPr="00773227">
        <w:rPr>
          <w:spacing w:val="-4"/>
        </w:rPr>
        <w:t xml:space="preserve"> </w:t>
      </w:r>
      <w:r w:rsidRPr="00773227">
        <w:t>being</w:t>
      </w:r>
      <w:r w:rsidRPr="00773227">
        <w:rPr>
          <w:spacing w:val="-3"/>
        </w:rPr>
        <w:t xml:space="preserve"> </w:t>
      </w:r>
      <w:r w:rsidRPr="00773227">
        <w:t>used</w:t>
      </w:r>
      <w:r w:rsidRPr="00773227">
        <w:rPr>
          <w:spacing w:val="-2"/>
        </w:rPr>
        <w:t xml:space="preserve"> </w:t>
      </w:r>
      <w:r w:rsidRPr="00773227">
        <w:t>or</w:t>
      </w:r>
      <w:r w:rsidRPr="00773227">
        <w:rPr>
          <w:spacing w:val="-3"/>
        </w:rPr>
        <w:t xml:space="preserve"> </w:t>
      </w:r>
      <w:r w:rsidRPr="00773227">
        <w:t>in</w:t>
      </w:r>
      <w:r w:rsidRPr="00773227">
        <w:rPr>
          <w:spacing w:val="-2"/>
        </w:rPr>
        <w:t xml:space="preserve"> </w:t>
      </w:r>
      <w:r w:rsidRPr="00773227">
        <w:t>its physical</w:t>
      </w:r>
      <w:r w:rsidRPr="00773227">
        <w:rPr>
          <w:spacing w:val="-12"/>
        </w:rPr>
        <w:t xml:space="preserve"> </w:t>
      </w:r>
      <w:r w:rsidRPr="00773227">
        <w:t>condition</w:t>
      </w:r>
    </w:p>
    <w:p w14:paraId="6BB9DB78" w14:textId="77777777" w:rsidR="00D3782C" w:rsidRPr="00773227" w:rsidRDefault="00D3782C" w:rsidP="00D3782C">
      <w:pPr>
        <w:pStyle w:val="ListParagraph"/>
        <w:numPr>
          <w:ilvl w:val="0"/>
          <w:numId w:val="55"/>
        </w:numPr>
      </w:pPr>
      <w:r w:rsidRPr="00773227">
        <w:t>A</w:t>
      </w:r>
      <w:r w:rsidRPr="00773227">
        <w:rPr>
          <w:spacing w:val="-4"/>
        </w:rPr>
        <w:t xml:space="preserve"> </w:t>
      </w:r>
      <w:r w:rsidRPr="00773227">
        <w:t>significant</w:t>
      </w:r>
      <w:r w:rsidRPr="00773227">
        <w:rPr>
          <w:spacing w:val="-4"/>
        </w:rPr>
        <w:t xml:space="preserve"> </w:t>
      </w:r>
      <w:r w:rsidRPr="00773227">
        <w:t>adverse</w:t>
      </w:r>
      <w:r w:rsidRPr="00773227">
        <w:rPr>
          <w:spacing w:val="-4"/>
        </w:rPr>
        <w:t xml:space="preserve"> </w:t>
      </w:r>
      <w:r w:rsidRPr="00773227">
        <w:t>change</w:t>
      </w:r>
      <w:r w:rsidRPr="00773227">
        <w:rPr>
          <w:spacing w:val="-4"/>
        </w:rPr>
        <w:t xml:space="preserve"> </w:t>
      </w:r>
      <w:r w:rsidRPr="00773227">
        <w:t>in</w:t>
      </w:r>
      <w:r w:rsidRPr="00773227">
        <w:rPr>
          <w:spacing w:val="-3"/>
        </w:rPr>
        <w:t xml:space="preserve"> </w:t>
      </w:r>
      <w:r w:rsidRPr="00773227">
        <w:t>legal</w:t>
      </w:r>
      <w:r w:rsidRPr="00773227">
        <w:rPr>
          <w:spacing w:val="-4"/>
        </w:rPr>
        <w:t xml:space="preserve"> </w:t>
      </w:r>
      <w:r w:rsidRPr="00773227">
        <w:t>factors</w:t>
      </w:r>
      <w:r w:rsidRPr="00773227">
        <w:rPr>
          <w:spacing w:val="-4"/>
        </w:rPr>
        <w:t xml:space="preserve"> </w:t>
      </w:r>
      <w:r w:rsidRPr="00773227">
        <w:t>or</w:t>
      </w:r>
      <w:r w:rsidRPr="00773227">
        <w:rPr>
          <w:spacing w:val="-4"/>
        </w:rPr>
        <w:t xml:space="preserve"> </w:t>
      </w:r>
      <w:r w:rsidRPr="00773227">
        <w:t>in</w:t>
      </w:r>
      <w:r w:rsidRPr="00773227">
        <w:rPr>
          <w:spacing w:val="-3"/>
        </w:rPr>
        <w:t xml:space="preserve"> </w:t>
      </w:r>
      <w:r w:rsidRPr="00773227">
        <w:t>the</w:t>
      </w:r>
      <w:r w:rsidRPr="00773227">
        <w:rPr>
          <w:spacing w:val="-4"/>
        </w:rPr>
        <w:t xml:space="preserve"> </w:t>
      </w:r>
      <w:r w:rsidRPr="00773227">
        <w:t>business</w:t>
      </w:r>
      <w:r w:rsidRPr="00773227">
        <w:rPr>
          <w:spacing w:val="-4"/>
        </w:rPr>
        <w:t xml:space="preserve"> </w:t>
      </w:r>
      <w:r w:rsidRPr="00773227">
        <w:t>climate</w:t>
      </w:r>
      <w:r w:rsidRPr="00773227">
        <w:rPr>
          <w:spacing w:val="-4"/>
        </w:rPr>
        <w:t xml:space="preserve"> </w:t>
      </w:r>
      <w:r w:rsidRPr="00773227">
        <w:t>that</w:t>
      </w:r>
      <w:r w:rsidRPr="00773227">
        <w:rPr>
          <w:spacing w:val="-4"/>
        </w:rPr>
        <w:t xml:space="preserve"> </w:t>
      </w:r>
      <w:r w:rsidRPr="00773227">
        <w:t>could</w:t>
      </w:r>
      <w:r w:rsidRPr="00773227">
        <w:rPr>
          <w:spacing w:val="-3"/>
        </w:rPr>
        <w:t xml:space="preserve"> </w:t>
      </w:r>
      <w:r w:rsidRPr="00773227">
        <w:t>affect</w:t>
      </w:r>
      <w:r w:rsidRPr="00773227">
        <w:rPr>
          <w:spacing w:val="-4"/>
        </w:rPr>
        <w:t xml:space="preserve"> </w:t>
      </w:r>
      <w:r w:rsidRPr="00773227">
        <w:t>the</w:t>
      </w:r>
      <w:r w:rsidRPr="00773227">
        <w:rPr>
          <w:spacing w:val="-4"/>
        </w:rPr>
        <w:t xml:space="preserve"> </w:t>
      </w:r>
      <w:r w:rsidRPr="00773227">
        <w:t>value</w:t>
      </w:r>
      <w:r w:rsidRPr="00773227">
        <w:rPr>
          <w:spacing w:val="-4"/>
        </w:rPr>
        <w:t xml:space="preserve"> </w:t>
      </w:r>
      <w:r w:rsidRPr="00773227">
        <w:t>of</w:t>
      </w:r>
      <w:r w:rsidRPr="00773227">
        <w:rPr>
          <w:spacing w:val="-4"/>
        </w:rPr>
        <w:t xml:space="preserve"> </w:t>
      </w:r>
      <w:r w:rsidRPr="00773227">
        <w:t>a</w:t>
      </w:r>
      <w:r w:rsidRPr="00773227">
        <w:rPr>
          <w:spacing w:val="-3"/>
        </w:rPr>
        <w:t xml:space="preserve"> </w:t>
      </w:r>
      <w:r w:rsidRPr="00773227">
        <w:t>long-lived asset</w:t>
      </w:r>
      <w:r w:rsidRPr="00773227">
        <w:rPr>
          <w:spacing w:val="-5"/>
        </w:rPr>
        <w:t xml:space="preserve"> </w:t>
      </w:r>
      <w:r w:rsidRPr="00773227">
        <w:t>(asset</w:t>
      </w:r>
      <w:r w:rsidRPr="00773227">
        <w:rPr>
          <w:spacing w:val="-5"/>
        </w:rPr>
        <w:t xml:space="preserve"> </w:t>
      </w:r>
      <w:r w:rsidRPr="00773227">
        <w:t>group),</w:t>
      </w:r>
      <w:r w:rsidRPr="00773227">
        <w:rPr>
          <w:spacing w:val="-4"/>
        </w:rPr>
        <w:t xml:space="preserve"> </w:t>
      </w:r>
      <w:r w:rsidRPr="00773227">
        <w:t>including</w:t>
      </w:r>
      <w:r w:rsidRPr="00773227">
        <w:rPr>
          <w:spacing w:val="-5"/>
        </w:rPr>
        <w:t xml:space="preserve"> </w:t>
      </w:r>
      <w:r w:rsidRPr="00773227">
        <w:t>an</w:t>
      </w:r>
      <w:r w:rsidRPr="00773227">
        <w:rPr>
          <w:spacing w:val="-4"/>
        </w:rPr>
        <w:t xml:space="preserve"> </w:t>
      </w:r>
      <w:r w:rsidRPr="00773227">
        <w:t>adverse</w:t>
      </w:r>
      <w:r w:rsidRPr="00773227">
        <w:rPr>
          <w:spacing w:val="-5"/>
        </w:rPr>
        <w:t xml:space="preserve"> </w:t>
      </w:r>
      <w:r w:rsidRPr="00773227">
        <w:t>action</w:t>
      </w:r>
      <w:r w:rsidRPr="00773227">
        <w:rPr>
          <w:spacing w:val="-4"/>
        </w:rPr>
        <w:t xml:space="preserve"> </w:t>
      </w:r>
      <w:r w:rsidRPr="00773227">
        <w:t>or</w:t>
      </w:r>
      <w:r w:rsidRPr="00773227">
        <w:rPr>
          <w:spacing w:val="-5"/>
        </w:rPr>
        <w:t xml:space="preserve"> </w:t>
      </w:r>
      <w:r w:rsidRPr="00773227">
        <w:t>assessment</w:t>
      </w:r>
      <w:r w:rsidRPr="00773227">
        <w:rPr>
          <w:spacing w:val="-5"/>
        </w:rPr>
        <w:t xml:space="preserve"> </w:t>
      </w:r>
      <w:r w:rsidRPr="00773227">
        <w:t>by</w:t>
      </w:r>
      <w:r w:rsidRPr="00773227">
        <w:rPr>
          <w:spacing w:val="-4"/>
        </w:rPr>
        <w:t xml:space="preserve"> </w:t>
      </w:r>
      <w:r w:rsidRPr="00773227">
        <w:t>a</w:t>
      </w:r>
      <w:r w:rsidRPr="00773227">
        <w:rPr>
          <w:spacing w:val="-5"/>
        </w:rPr>
        <w:t xml:space="preserve"> </w:t>
      </w:r>
      <w:r w:rsidRPr="00773227">
        <w:t>regulator</w:t>
      </w:r>
    </w:p>
    <w:p w14:paraId="54256B07" w14:textId="77777777" w:rsidR="00D3782C" w:rsidRPr="00773227" w:rsidRDefault="00D3782C" w:rsidP="00D3782C">
      <w:pPr>
        <w:pStyle w:val="ListParagraph"/>
        <w:numPr>
          <w:ilvl w:val="0"/>
          <w:numId w:val="55"/>
        </w:numPr>
      </w:pPr>
      <w:r w:rsidRPr="00773227">
        <w:t>An accumulation of costs significantly in excess of the amount originally expected for the acquisition or construction of a long-lived asset (asset</w:t>
      </w:r>
      <w:r w:rsidRPr="00773227">
        <w:rPr>
          <w:spacing w:val="-29"/>
        </w:rPr>
        <w:t xml:space="preserve"> </w:t>
      </w:r>
      <w:r w:rsidRPr="00773227">
        <w:t>group)</w:t>
      </w:r>
    </w:p>
    <w:p w14:paraId="3A87BCB1" w14:textId="77777777" w:rsidR="00D3782C" w:rsidRPr="00773227" w:rsidRDefault="00D3782C" w:rsidP="00D3782C">
      <w:pPr>
        <w:pStyle w:val="ListParagraph"/>
        <w:numPr>
          <w:ilvl w:val="0"/>
          <w:numId w:val="55"/>
        </w:numPr>
      </w:pPr>
      <w:r w:rsidRPr="00773227">
        <w:t xml:space="preserve">A </w:t>
      </w:r>
      <w:proofErr w:type="gramStart"/>
      <w:r w:rsidRPr="00773227">
        <w:t>current-period</w:t>
      </w:r>
      <w:proofErr w:type="gramEnd"/>
      <w:r w:rsidRPr="00773227">
        <w:t xml:space="preserve"> operating or cash flow loss combined with a history of operating or cash flow losses or a projection</w:t>
      </w:r>
      <w:r w:rsidRPr="00773227">
        <w:rPr>
          <w:spacing w:val="-3"/>
        </w:rPr>
        <w:t xml:space="preserve"> </w:t>
      </w:r>
      <w:r w:rsidRPr="00773227">
        <w:t>or</w:t>
      </w:r>
      <w:r w:rsidRPr="00773227">
        <w:rPr>
          <w:spacing w:val="-4"/>
        </w:rPr>
        <w:t xml:space="preserve"> </w:t>
      </w:r>
      <w:r w:rsidRPr="00773227">
        <w:t>forecast</w:t>
      </w:r>
      <w:r w:rsidRPr="00773227">
        <w:rPr>
          <w:spacing w:val="-4"/>
        </w:rPr>
        <w:t xml:space="preserve"> </w:t>
      </w:r>
      <w:r w:rsidRPr="00773227">
        <w:t>that</w:t>
      </w:r>
      <w:r w:rsidRPr="00773227">
        <w:rPr>
          <w:spacing w:val="-4"/>
        </w:rPr>
        <w:t xml:space="preserve"> </w:t>
      </w:r>
      <w:r w:rsidRPr="00773227">
        <w:t>demonstrates</w:t>
      </w:r>
      <w:r w:rsidRPr="00773227">
        <w:rPr>
          <w:spacing w:val="-5"/>
        </w:rPr>
        <w:t xml:space="preserve"> </w:t>
      </w:r>
      <w:r w:rsidRPr="00773227">
        <w:t>continuing</w:t>
      </w:r>
      <w:r w:rsidRPr="00773227">
        <w:rPr>
          <w:spacing w:val="-4"/>
        </w:rPr>
        <w:t xml:space="preserve"> </w:t>
      </w:r>
      <w:r w:rsidRPr="00773227">
        <w:t>losses</w:t>
      </w:r>
      <w:r w:rsidRPr="00773227">
        <w:rPr>
          <w:spacing w:val="-5"/>
        </w:rPr>
        <w:t xml:space="preserve"> </w:t>
      </w:r>
      <w:r w:rsidRPr="00773227">
        <w:t>associated</w:t>
      </w:r>
      <w:r w:rsidRPr="00773227">
        <w:rPr>
          <w:spacing w:val="-3"/>
        </w:rPr>
        <w:t xml:space="preserve"> </w:t>
      </w:r>
      <w:r w:rsidRPr="00773227">
        <w:t>with</w:t>
      </w:r>
      <w:r w:rsidRPr="00773227">
        <w:rPr>
          <w:spacing w:val="-3"/>
        </w:rPr>
        <w:t xml:space="preserve"> </w:t>
      </w:r>
      <w:r w:rsidRPr="00773227">
        <w:t>the</w:t>
      </w:r>
      <w:r w:rsidRPr="00773227">
        <w:rPr>
          <w:spacing w:val="-5"/>
        </w:rPr>
        <w:t xml:space="preserve"> </w:t>
      </w:r>
      <w:r w:rsidRPr="00773227">
        <w:t>use</w:t>
      </w:r>
      <w:r w:rsidRPr="00773227">
        <w:rPr>
          <w:spacing w:val="-5"/>
        </w:rPr>
        <w:t xml:space="preserve"> </w:t>
      </w:r>
      <w:r w:rsidRPr="00773227">
        <w:t>of</w:t>
      </w:r>
      <w:r w:rsidRPr="00773227">
        <w:rPr>
          <w:spacing w:val="-5"/>
        </w:rPr>
        <w:t xml:space="preserve"> </w:t>
      </w:r>
      <w:r w:rsidRPr="00773227">
        <w:t>a</w:t>
      </w:r>
      <w:r w:rsidRPr="00773227">
        <w:rPr>
          <w:spacing w:val="-4"/>
        </w:rPr>
        <w:t xml:space="preserve"> </w:t>
      </w:r>
      <w:r w:rsidRPr="00773227">
        <w:t>long-lived</w:t>
      </w:r>
      <w:r w:rsidRPr="00773227">
        <w:rPr>
          <w:spacing w:val="-3"/>
        </w:rPr>
        <w:t xml:space="preserve"> </w:t>
      </w:r>
      <w:r w:rsidRPr="00773227">
        <w:t>asset</w:t>
      </w:r>
      <w:r w:rsidRPr="00773227">
        <w:rPr>
          <w:spacing w:val="-4"/>
        </w:rPr>
        <w:t xml:space="preserve"> </w:t>
      </w:r>
      <w:r w:rsidRPr="00773227">
        <w:t>(asset group)</w:t>
      </w:r>
    </w:p>
    <w:p w14:paraId="045EA147" w14:textId="77777777" w:rsidR="00D3782C" w:rsidRPr="00773227" w:rsidRDefault="00D3782C" w:rsidP="00D3782C">
      <w:pPr>
        <w:pStyle w:val="ListParagraph"/>
        <w:numPr>
          <w:ilvl w:val="0"/>
          <w:numId w:val="55"/>
        </w:numPr>
      </w:pPr>
      <w:r w:rsidRPr="00773227">
        <w:t>A</w:t>
      </w:r>
      <w:r w:rsidRPr="00773227">
        <w:rPr>
          <w:spacing w:val="-4"/>
        </w:rPr>
        <w:t xml:space="preserve"> </w:t>
      </w:r>
      <w:r w:rsidRPr="00773227">
        <w:t>current</w:t>
      </w:r>
      <w:r w:rsidRPr="00773227">
        <w:rPr>
          <w:spacing w:val="-4"/>
        </w:rPr>
        <w:t xml:space="preserve"> </w:t>
      </w:r>
      <w:r w:rsidRPr="00773227">
        <w:t>expectation</w:t>
      </w:r>
      <w:r w:rsidRPr="00773227">
        <w:rPr>
          <w:spacing w:val="-3"/>
        </w:rPr>
        <w:t xml:space="preserve"> </w:t>
      </w:r>
      <w:r w:rsidRPr="00773227">
        <w:t>that,</w:t>
      </w:r>
      <w:r w:rsidRPr="00773227">
        <w:rPr>
          <w:spacing w:val="-3"/>
        </w:rPr>
        <w:t xml:space="preserve"> </w:t>
      </w:r>
      <w:r w:rsidRPr="00773227">
        <w:t>more</w:t>
      </w:r>
      <w:r w:rsidRPr="00773227">
        <w:rPr>
          <w:spacing w:val="-5"/>
        </w:rPr>
        <w:t xml:space="preserve"> </w:t>
      </w:r>
      <w:r w:rsidRPr="00773227">
        <w:t>likely</w:t>
      </w:r>
      <w:r w:rsidRPr="00773227">
        <w:rPr>
          <w:spacing w:val="-3"/>
        </w:rPr>
        <w:t xml:space="preserve"> </w:t>
      </w:r>
      <w:r w:rsidRPr="00773227">
        <w:t>than</w:t>
      </w:r>
      <w:r w:rsidRPr="00773227">
        <w:rPr>
          <w:spacing w:val="-3"/>
        </w:rPr>
        <w:t xml:space="preserve"> </w:t>
      </w:r>
      <w:r w:rsidRPr="00773227">
        <w:t>not,</w:t>
      </w:r>
      <w:r w:rsidRPr="00773227">
        <w:rPr>
          <w:spacing w:val="-3"/>
        </w:rPr>
        <w:t xml:space="preserve"> </w:t>
      </w:r>
      <w:r w:rsidRPr="00773227">
        <w:t>a</w:t>
      </w:r>
      <w:r w:rsidRPr="00773227">
        <w:rPr>
          <w:spacing w:val="-4"/>
        </w:rPr>
        <w:t xml:space="preserve"> </w:t>
      </w:r>
      <w:r w:rsidRPr="00773227">
        <w:t>long-lived</w:t>
      </w:r>
      <w:r w:rsidRPr="00773227">
        <w:rPr>
          <w:spacing w:val="-3"/>
        </w:rPr>
        <w:t xml:space="preserve"> </w:t>
      </w:r>
      <w:r w:rsidRPr="00773227">
        <w:t>asset</w:t>
      </w:r>
      <w:r w:rsidRPr="00773227">
        <w:rPr>
          <w:spacing w:val="-4"/>
        </w:rPr>
        <w:t xml:space="preserve"> </w:t>
      </w:r>
      <w:r w:rsidRPr="00773227">
        <w:t>(asset</w:t>
      </w:r>
      <w:r w:rsidRPr="00773227">
        <w:rPr>
          <w:spacing w:val="-4"/>
        </w:rPr>
        <w:t xml:space="preserve"> </w:t>
      </w:r>
      <w:r w:rsidRPr="00773227">
        <w:t>group)</w:t>
      </w:r>
      <w:r w:rsidRPr="00773227">
        <w:rPr>
          <w:spacing w:val="-4"/>
        </w:rPr>
        <w:t xml:space="preserve"> </w:t>
      </w:r>
      <w:r w:rsidRPr="00773227">
        <w:t>will</w:t>
      </w:r>
      <w:r w:rsidRPr="00773227">
        <w:rPr>
          <w:spacing w:val="-4"/>
        </w:rPr>
        <w:t xml:space="preserve"> </w:t>
      </w:r>
      <w:r w:rsidRPr="00773227">
        <w:t>be</w:t>
      </w:r>
      <w:r w:rsidRPr="00773227">
        <w:rPr>
          <w:spacing w:val="-5"/>
        </w:rPr>
        <w:t xml:space="preserve"> </w:t>
      </w:r>
      <w:r w:rsidRPr="00773227">
        <w:t>sold</w:t>
      </w:r>
      <w:r w:rsidRPr="00773227">
        <w:rPr>
          <w:spacing w:val="-3"/>
        </w:rPr>
        <w:t xml:space="preserve"> </w:t>
      </w:r>
      <w:r w:rsidRPr="00773227">
        <w:t>or</w:t>
      </w:r>
      <w:r w:rsidRPr="00773227">
        <w:rPr>
          <w:spacing w:val="-4"/>
        </w:rPr>
        <w:t xml:space="preserve"> </w:t>
      </w:r>
      <w:r w:rsidRPr="00773227">
        <w:t>otherwise</w:t>
      </w:r>
      <w:r w:rsidRPr="00773227">
        <w:rPr>
          <w:spacing w:val="-5"/>
        </w:rPr>
        <w:t xml:space="preserve"> </w:t>
      </w:r>
      <w:r w:rsidRPr="00773227">
        <w:t xml:space="preserve">disposed of significantly before the end of its previously estimated useful life. The term </w:t>
      </w:r>
      <w:r w:rsidRPr="00773227">
        <w:rPr>
          <w:i/>
        </w:rPr>
        <w:t xml:space="preserve">more likely than not </w:t>
      </w:r>
      <w:r w:rsidRPr="00773227">
        <w:t>refers to a level of likelihood that is more than 50</w:t>
      </w:r>
      <w:r w:rsidRPr="00773227">
        <w:rPr>
          <w:spacing w:val="-23"/>
        </w:rPr>
        <w:t xml:space="preserve"> </w:t>
      </w:r>
      <w:r w:rsidRPr="00773227">
        <w:t>percent.</w:t>
      </w:r>
    </w:p>
    <w:p w14:paraId="3D5DE581" w14:textId="77777777" w:rsidR="00D3782C" w:rsidRPr="00FB717D" w:rsidRDefault="00D3782C" w:rsidP="00D3782C">
      <w:pPr>
        <w:ind w:left="360"/>
      </w:pPr>
      <w:r w:rsidRPr="00FB717D">
        <w:t xml:space="preserve">Common reasons for impairment </w:t>
      </w:r>
      <w:proofErr w:type="gramStart"/>
      <w:r w:rsidRPr="00FB717D">
        <w:t>include, but</w:t>
      </w:r>
      <w:proofErr w:type="gramEnd"/>
      <w:r w:rsidRPr="00FB717D">
        <w:t xml:space="preserve"> are not limited </w:t>
      </w:r>
      <w:proofErr w:type="gramStart"/>
      <w:r w:rsidRPr="00FB717D">
        <w:t>to:</w:t>
      </w:r>
      <w:proofErr w:type="gramEnd"/>
      <w:r w:rsidRPr="00FB717D">
        <w:t xml:space="preserve"> missing equipment noted during a physical inventory; damaged or obsolete equipment disposed of; and building renovations of space that impair prior construction projects.</w:t>
      </w:r>
    </w:p>
    <w:p w14:paraId="563A4EFE" w14:textId="77777777" w:rsidR="00D3782C" w:rsidRDefault="00D3782C" w:rsidP="00D3782C">
      <w:pPr>
        <w:pStyle w:val="LevelI"/>
      </w:pPr>
      <w:r>
        <w:t>Timing of Recording</w:t>
      </w:r>
    </w:p>
    <w:p w14:paraId="15F54AE8" w14:textId="77777777" w:rsidR="00D3782C" w:rsidRDefault="00D3782C" w:rsidP="00D3782C">
      <w:pPr>
        <w:ind w:left="360"/>
        <w:rPr>
          <w:rFonts w:cstheme="minorHAnsi"/>
        </w:rPr>
      </w:pPr>
      <w:r w:rsidRPr="00FB717D">
        <w:rPr>
          <w:rFonts w:cstheme="minorHAnsi"/>
        </w:rPr>
        <w:t>Account for disposals due to sale or demolition and transfers of assets in the month of the disposal or transfer, and no later than quarter end</w:t>
      </w:r>
      <w:r>
        <w:rPr>
          <w:rFonts w:cstheme="minorHAnsi"/>
        </w:rPr>
        <w:t>.</w:t>
      </w:r>
    </w:p>
    <w:p w14:paraId="7E475795" w14:textId="77777777" w:rsidR="00D3782C" w:rsidRDefault="00D3782C" w:rsidP="00D3782C">
      <w:pPr>
        <w:pStyle w:val="LevelI"/>
      </w:pPr>
      <w:r>
        <w:t>School/Unit Review</w:t>
      </w:r>
    </w:p>
    <w:p w14:paraId="11F7DCE7" w14:textId="77777777" w:rsidR="00D3782C" w:rsidRPr="00E670EC" w:rsidRDefault="00D3782C" w:rsidP="00D3782C">
      <w:pPr>
        <w:ind w:left="360"/>
      </w:pPr>
      <w:r w:rsidRPr="00FB717D">
        <w:t xml:space="preserve">Buildings must be reviewed for impairment on a quarterly basis, or at any time that a </w:t>
      </w:r>
      <w:r>
        <w:t xml:space="preserve">capital project commences but no later than approval of a </w:t>
      </w:r>
      <w:r w:rsidRPr="00FB717D">
        <w:t xml:space="preserve">Construction Authorization </w:t>
      </w:r>
      <w:r>
        <w:t xml:space="preserve">for </w:t>
      </w:r>
      <w:r w:rsidRPr="00FB717D">
        <w:t xml:space="preserve">potential impairment impact plus a full review at year end, in accordance with the </w:t>
      </w:r>
      <w:hyperlink r:id="rId19" w:history="1">
        <w:r w:rsidRPr="00227494">
          <w:rPr>
            <w:rStyle w:val="Hyperlink"/>
            <w:rFonts w:cstheme="minorHAnsi"/>
          </w:rPr>
          <w:t>Internal Controls Matrix</w:t>
        </w:r>
      </w:hyperlink>
      <w:r w:rsidRPr="00FB717D">
        <w:t xml:space="preserve">. </w:t>
      </w:r>
    </w:p>
    <w:p w14:paraId="6CE24170" w14:textId="77777777" w:rsidR="00D3782C" w:rsidRPr="00FB717D" w:rsidRDefault="00D3782C" w:rsidP="00D3782C">
      <w:pPr>
        <w:ind w:left="360"/>
      </w:pPr>
      <w:r w:rsidRPr="00FB717D">
        <w:t>Equipment assets must be reviewed for impairment/obsolescence during the course of the bi-annual physical inventory.</w:t>
      </w:r>
    </w:p>
    <w:p w14:paraId="3EF55661" w14:textId="77777777" w:rsidR="00D3782C" w:rsidRDefault="00D3782C" w:rsidP="00D3782C">
      <w:pPr>
        <w:ind w:left="360"/>
      </w:pPr>
      <w:r w:rsidRPr="00FB717D">
        <w:t>Child assets must be reviewed for impairment/retirement upon the impairment/retirement of a Parent Asset. However, OFA will not notify the user that there are associated child assets at the time of the transaction on the Parent. The Asset Workbench must be reviewed to identify any related assets</w:t>
      </w:r>
      <w:r>
        <w:t>.</w:t>
      </w:r>
    </w:p>
    <w:p w14:paraId="64FFA845" w14:textId="77777777" w:rsidR="00D3782C" w:rsidRDefault="00D3782C" w:rsidP="00D3782C">
      <w:pPr>
        <w:spacing w:after="0" w:line="240" w:lineRule="auto"/>
      </w:pPr>
      <w:r>
        <w:br w:type="page"/>
      </w:r>
    </w:p>
    <w:p w14:paraId="3EE74186" w14:textId="77777777" w:rsidR="00D3782C" w:rsidRDefault="00D3782C" w:rsidP="00D3782C">
      <w:pPr>
        <w:pStyle w:val="BodyText"/>
        <w:ind w:right="432"/>
        <w:jc w:val="both"/>
        <w:rPr>
          <w:rFonts w:ascii="Arial"/>
          <w:b/>
        </w:rPr>
      </w:pPr>
      <w:r>
        <w:rPr>
          <w:rFonts w:ascii="Arial"/>
          <w:b/>
        </w:rPr>
        <w:lastRenderedPageBreak/>
        <w:t>Examples of Proper Coding for Disposals and Impairments</w:t>
      </w:r>
    </w:p>
    <w:p w14:paraId="48C97F15" w14:textId="77777777" w:rsidR="00D3782C" w:rsidRPr="00E670EC" w:rsidRDefault="00D3782C" w:rsidP="00D3782C">
      <w:pPr>
        <w:pStyle w:val="BodyText"/>
        <w:ind w:right="432"/>
        <w:jc w:val="both"/>
        <w:rPr>
          <w:rFonts w:ascii="Arial"/>
          <w:b/>
        </w:rPr>
      </w:pPr>
    </w:p>
    <w:p w14:paraId="751D1474" w14:textId="77777777" w:rsidR="00D3782C" w:rsidRPr="007B65D4" w:rsidRDefault="00D3782C" w:rsidP="00D3782C">
      <w:pPr>
        <w:rPr>
          <w:rFonts w:cstheme="minorHAnsi"/>
        </w:rPr>
      </w:pPr>
      <w:r w:rsidRPr="007B65D4">
        <w:rPr>
          <w:rFonts w:cstheme="minorHAnsi"/>
        </w:rPr>
        <w:t>Example 1</w:t>
      </w:r>
    </w:p>
    <w:p w14:paraId="77A69F72" w14:textId="77777777" w:rsidR="00D3782C" w:rsidRPr="00E670EC" w:rsidRDefault="00D3782C" w:rsidP="00D3782C">
      <w:pPr>
        <w:rPr>
          <w:sz w:val="20"/>
        </w:rPr>
      </w:pPr>
      <w:r w:rsidRPr="00FB717D">
        <w:rPr>
          <w:sz w:val="20"/>
        </w:rPr>
        <w:t>On January 15, 20X</w:t>
      </w:r>
      <w:r>
        <w:rPr>
          <w:sz w:val="20"/>
        </w:rPr>
        <w:t>1</w:t>
      </w:r>
      <w:r w:rsidRPr="00FB717D">
        <w:rPr>
          <w:sz w:val="20"/>
        </w:rPr>
        <w:t>, HRES (</w:t>
      </w:r>
      <w:r>
        <w:rPr>
          <w:sz w:val="20"/>
        </w:rPr>
        <w:t>school/unit</w:t>
      </w:r>
      <w:r w:rsidRPr="00FB717D">
        <w:rPr>
          <w:sz w:val="20"/>
        </w:rPr>
        <w:t xml:space="preserve"> 580) sold a building for $1,000,000 to an external party. The building had an original cost of $700,000 and accumulated depreciation of $210,000 as of January 15, 20X1. This building was debt-financed with a loan for $450,000 </w:t>
      </w:r>
      <w:r>
        <w:rPr>
          <w:sz w:val="20"/>
        </w:rPr>
        <w:t>which was outstanding at the time of disposal.</w:t>
      </w:r>
    </w:p>
    <w:p w14:paraId="4E3FDB9D" w14:textId="77777777" w:rsidR="00D3782C" w:rsidRDefault="00D3782C" w:rsidP="00D3782C">
      <w:pPr>
        <w:rPr>
          <w:i/>
          <w:sz w:val="20"/>
        </w:rPr>
      </w:pPr>
      <w:r>
        <w:rPr>
          <w:i/>
          <w:sz w:val="20"/>
        </w:rPr>
        <w:t>The University begins depreciation in the month the asset was purchased or placed into service, with a full month of depreciation expense recorded at the month-end close. When an asset is disposed, no depreciation expense is recorded in the month of disposal. In addition, since this asset predated the conversion to Oracle Fixed Assets, a full year of depreciation was taken in the year the building was acquired.</w:t>
      </w:r>
    </w:p>
    <w:p w14:paraId="02D8F1FA" w14:textId="77777777" w:rsidR="00D3782C" w:rsidRDefault="00D3782C" w:rsidP="00D3782C">
      <w:pPr>
        <w:rPr>
          <w:i/>
          <w:sz w:val="20"/>
        </w:rPr>
      </w:pPr>
      <w:r>
        <w:rPr>
          <w:i/>
          <w:sz w:val="20"/>
        </w:rPr>
        <w:t xml:space="preserve">The sale will result in the following transactions in </w:t>
      </w:r>
      <w:proofErr w:type="gramStart"/>
      <w:r>
        <w:rPr>
          <w:i/>
          <w:sz w:val="20"/>
        </w:rPr>
        <w:t>the GL</w:t>
      </w:r>
      <w:proofErr w:type="gramEnd"/>
      <w:r>
        <w:rPr>
          <w:i/>
          <w:sz w:val="20"/>
        </w:rPr>
        <w:t>, across the University:</w:t>
      </w:r>
    </w:p>
    <w:p w14:paraId="57C7B26D" w14:textId="77777777" w:rsidR="00D3782C" w:rsidRDefault="00D3782C" w:rsidP="00D3782C">
      <w:pPr>
        <w:ind w:left="360"/>
      </w:pPr>
      <w:r>
        <w:rPr>
          <w:noProof/>
        </w:rPr>
        <w:drawing>
          <wp:inline distT="0" distB="0" distL="0" distR="0" wp14:anchorId="7B27AC01" wp14:editId="3BFEABB5">
            <wp:extent cx="5943600" cy="3632835"/>
            <wp:effectExtent l="0" t="0" r="0" b="571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0"/>
                    <a:stretch>
                      <a:fillRect/>
                    </a:stretch>
                  </pic:blipFill>
                  <pic:spPr>
                    <a:xfrm>
                      <a:off x="0" y="0"/>
                      <a:ext cx="5943600" cy="3632835"/>
                    </a:xfrm>
                    <a:prstGeom prst="rect">
                      <a:avLst/>
                    </a:prstGeom>
                  </pic:spPr>
                </pic:pic>
              </a:graphicData>
            </a:graphic>
          </wp:inline>
        </w:drawing>
      </w:r>
    </w:p>
    <w:p w14:paraId="2314D8B1" w14:textId="77777777" w:rsidR="00D3782C" w:rsidRDefault="00D3782C" w:rsidP="00D3782C">
      <w:pPr>
        <w:ind w:left="360"/>
      </w:pPr>
      <w:r>
        <w:rPr>
          <w:noProof/>
        </w:rPr>
        <w:lastRenderedPageBreak/>
        <w:drawing>
          <wp:inline distT="0" distB="0" distL="0" distR="0" wp14:anchorId="340E16A5" wp14:editId="1B879441">
            <wp:extent cx="5943600" cy="5313680"/>
            <wp:effectExtent l="0" t="0" r="0" b="127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1"/>
                    <a:stretch>
                      <a:fillRect/>
                    </a:stretch>
                  </pic:blipFill>
                  <pic:spPr>
                    <a:xfrm>
                      <a:off x="0" y="0"/>
                      <a:ext cx="5943600" cy="5313680"/>
                    </a:xfrm>
                    <a:prstGeom prst="rect">
                      <a:avLst/>
                    </a:prstGeom>
                  </pic:spPr>
                </pic:pic>
              </a:graphicData>
            </a:graphic>
          </wp:inline>
        </w:drawing>
      </w:r>
    </w:p>
    <w:p w14:paraId="71C9C7A7" w14:textId="77777777" w:rsidR="00D3782C" w:rsidRDefault="00D3782C" w:rsidP="00D3782C">
      <w:pPr>
        <w:spacing w:after="0" w:line="240" w:lineRule="auto"/>
      </w:pPr>
      <w:r>
        <w:br w:type="page"/>
      </w:r>
    </w:p>
    <w:p w14:paraId="64FD4B33" w14:textId="77777777" w:rsidR="00D3782C" w:rsidRPr="007B65D4" w:rsidRDefault="00D3782C" w:rsidP="00D3782C">
      <w:r w:rsidRPr="007B65D4">
        <w:lastRenderedPageBreak/>
        <w:t xml:space="preserve">Example </w:t>
      </w:r>
      <w:r>
        <w:t>2</w:t>
      </w:r>
    </w:p>
    <w:p w14:paraId="643AD557" w14:textId="77777777" w:rsidR="00D3782C" w:rsidRPr="007B65D4" w:rsidRDefault="00D3782C" w:rsidP="00D3782C">
      <w:pPr>
        <w:rPr>
          <w:sz w:val="20"/>
          <w:szCs w:val="20"/>
        </w:rPr>
      </w:pPr>
      <w:r w:rsidRPr="007B65D4">
        <w:rPr>
          <w:sz w:val="20"/>
          <w:szCs w:val="20"/>
        </w:rPr>
        <w:t>On October 12, 20X1, HRES (</w:t>
      </w:r>
      <w:r>
        <w:rPr>
          <w:sz w:val="20"/>
          <w:szCs w:val="20"/>
        </w:rPr>
        <w:t>school/unit</w:t>
      </w:r>
      <w:r w:rsidRPr="007B65D4">
        <w:rPr>
          <w:sz w:val="20"/>
          <w:szCs w:val="20"/>
        </w:rPr>
        <w:t xml:space="preserve"> 580) transferred land and a building to UOS (</w:t>
      </w:r>
      <w:r>
        <w:rPr>
          <w:sz w:val="20"/>
          <w:szCs w:val="20"/>
        </w:rPr>
        <w:t>school/unit</w:t>
      </w:r>
      <w:r w:rsidRPr="007B65D4">
        <w:rPr>
          <w:sz w:val="20"/>
          <w:szCs w:val="20"/>
        </w:rPr>
        <w:t xml:space="preserve"> 180). The land has a book value of $850,000. The building has a book value of $500,000, and the accumulated depreciation as of September 30, 20X1 was $25,000. As negotiated by the two </w:t>
      </w:r>
      <w:r>
        <w:rPr>
          <w:sz w:val="20"/>
          <w:szCs w:val="20"/>
        </w:rPr>
        <w:t>school/unit</w:t>
      </w:r>
      <w:r w:rsidRPr="007B65D4">
        <w:rPr>
          <w:sz w:val="20"/>
          <w:szCs w:val="20"/>
        </w:rPr>
        <w:t>s, UOS agreed to pay HRES an amount</w:t>
      </w:r>
      <w:r w:rsidRPr="007B65D4">
        <w:rPr>
          <w:spacing w:val="-32"/>
          <w:sz w:val="20"/>
          <w:szCs w:val="20"/>
        </w:rPr>
        <w:t xml:space="preserve"> </w:t>
      </w:r>
      <w:r w:rsidRPr="007B65D4">
        <w:rPr>
          <w:sz w:val="20"/>
          <w:szCs w:val="20"/>
        </w:rPr>
        <w:t xml:space="preserve">of $100,000. This building was not debt-financed, and there </w:t>
      </w:r>
      <w:proofErr w:type="gramStart"/>
      <w:r w:rsidRPr="007B65D4">
        <w:rPr>
          <w:sz w:val="20"/>
          <w:szCs w:val="20"/>
        </w:rPr>
        <w:t>are</w:t>
      </w:r>
      <w:proofErr w:type="gramEnd"/>
      <w:r w:rsidRPr="007B65D4">
        <w:rPr>
          <w:sz w:val="20"/>
          <w:szCs w:val="20"/>
        </w:rPr>
        <w:t xml:space="preserve"> no outstanding loans at the time of disposal.</w:t>
      </w:r>
    </w:p>
    <w:p w14:paraId="40176770" w14:textId="77777777" w:rsidR="00D3782C" w:rsidRPr="007B65D4" w:rsidRDefault="00D3782C" w:rsidP="00D3782C">
      <w:pPr>
        <w:rPr>
          <w:i/>
          <w:sz w:val="20"/>
          <w:szCs w:val="20"/>
        </w:rPr>
      </w:pPr>
      <w:r w:rsidRPr="007B65D4">
        <w:rPr>
          <w:i/>
          <w:sz w:val="20"/>
          <w:szCs w:val="20"/>
        </w:rPr>
        <w:t xml:space="preserve">The related plant equity balance in fund 724001, Funds Invested in Plant PIS as of September 30, 20X1, is </w:t>
      </w:r>
      <w:r>
        <w:rPr>
          <w:i/>
          <w:sz w:val="20"/>
          <w:szCs w:val="20"/>
        </w:rPr>
        <w:t>1,325,000</w:t>
      </w:r>
      <w:r w:rsidRPr="007B65D4">
        <w:rPr>
          <w:i/>
          <w:sz w:val="20"/>
          <w:szCs w:val="20"/>
        </w:rPr>
        <w:t xml:space="preserve"> </w:t>
      </w:r>
      <w:r w:rsidRPr="007B71EB">
        <w:rPr>
          <w:i/>
          <w:sz w:val="20"/>
          <w:szCs w:val="20"/>
        </w:rPr>
        <w:t>($850,000+$500,000 - $25,000). Dep</w:t>
      </w:r>
      <w:r w:rsidRPr="007B65D4">
        <w:rPr>
          <w:i/>
          <w:sz w:val="20"/>
          <w:szCs w:val="20"/>
        </w:rPr>
        <w:t xml:space="preserve">reciation will be recorded on </w:t>
      </w:r>
      <w:r>
        <w:rPr>
          <w:i/>
          <w:sz w:val="20"/>
          <w:szCs w:val="20"/>
        </w:rPr>
        <w:t>school/unit</w:t>
      </w:r>
      <w:r w:rsidRPr="007B65D4">
        <w:rPr>
          <w:i/>
          <w:sz w:val="20"/>
          <w:szCs w:val="20"/>
        </w:rPr>
        <w:t xml:space="preserve"> 180’s books as of October 12, 20X1.</w:t>
      </w:r>
    </w:p>
    <w:p w14:paraId="5CE7FEB0" w14:textId="77777777" w:rsidR="00D3782C" w:rsidRPr="007B65D4" w:rsidRDefault="00D3782C" w:rsidP="00D3782C">
      <w:pPr>
        <w:rPr>
          <w:i/>
          <w:sz w:val="20"/>
          <w:szCs w:val="20"/>
        </w:rPr>
      </w:pPr>
      <w:r w:rsidRPr="007B65D4">
        <w:rPr>
          <w:i/>
          <w:sz w:val="20"/>
          <w:szCs w:val="20"/>
        </w:rPr>
        <w:t>The journal entries required to record this internal transfer/sale are as follows:</w:t>
      </w:r>
    </w:p>
    <w:p w14:paraId="4B229F52" w14:textId="77777777" w:rsidR="00D3782C" w:rsidRPr="00E670EC" w:rsidRDefault="00D3782C" w:rsidP="00D3782C">
      <w:pPr>
        <w:rPr>
          <w:b/>
          <w:bCs/>
        </w:rPr>
      </w:pPr>
      <w:r w:rsidRPr="00E670EC">
        <w:rPr>
          <w:b/>
          <w:bCs/>
        </w:rPr>
        <w:t>To transfer the assets and accumulated depreciation from HRES to UOS. These will be system generated entries as the change of ownership of the asset will be changed in Oracle Fixed Assets.</w:t>
      </w:r>
    </w:p>
    <w:p w14:paraId="0A46F086" w14:textId="77777777" w:rsidR="00D3782C" w:rsidRDefault="00D3782C" w:rsidP="00D3782C">
      <w:pPr>
        <w:ind w:left="360"/>
      </w:pPr>
      <w:r>
        <w:rPr>
          <w:noProof/>
        </w:rPr>
        <w:drawing>
          <wp:inline distT="0" distB="0" distL="0" distR="0" wp14:anchorId="3B4F5310" wp14:editId="6D32514B">
            <wp:extent cx="5943600" cy="2708275"/>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2"/>
                    <a:stretch>
                      <a:fillRect/>
                    </a:stretch>
                  </pic:blipFill>
                  <pic:spPr>
                    <a:xfrm>
                      <a:off x="0" y="0"/>
                      <a:ext cx="5943600" cy="2708275"/>
                    </a:xfrm>
                    <a:prstGeom prst="rect">
                      <a:avLst/>
                    </a:prstGeom>
                  </pic:spPr>
                </pic:pic>
              </a:graphicData>
            </a:graphic>
          </wp:inline>
        </w:drawing>
      </w:r>
    </w:p>
    <w:p w14:paraId="533217DA" w14:textId="3E6836B9" w:rsidR="00D3782C" w:rsidRDefault="00D3782C" w:rsidP="00105261">
      <w:pPr>
        <w:ind w:left="360"/>
      </w:pPr>
      <w:r>
        <w:rPr>
          <w:noProof/>
        </w:rPr>
        <w:drawing>
          <wp:inline distT="0" distB="0" distL="0" distR="0" wp14:anchorId="3E65AB33" wp14:editId="5D658E3B">
            <wp:extent cx="4713294" cy="3108960"/>
            <wp:effectExtent l="0" t="0" r="0"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23"/>
                    <a:stretch>
                      <a:fillRect/>
                    </a:stretch>
                  </pic:blipFill>
                  <pic:spPr>
                    <a:xfrm>
                      <a:off x="0" y="0"/>
                      <a:ext cx="4713294" cy="3108960"/>
                    </a:xfrm>
                    <a:prstGeom prst="rect">
                      <a:avLst/>
                    </a:prstGeom>
                  </pic:spPr>
                </pic:pic>
              </a:graphicData>
            </a:graphic>
          </wp:inline>
        </w:drawing>
      </w:r>
      <w:r>
        <w:br w:type="page"/>
      </w:r>
    </w:p>
    <w:p w14:paraId="43C9DF83" w14:textId="77777777" w:rsidR="00D3782C" w:rsidRPr="00354243" w:rsidRDefault="00D3782C" w:rsidP="00D3782C">
      <w:r w:rsidRPr="00354243">
        <w:lastRenderedPageBreak/>
        <w:t>Example 3</w:t>
      </w:r>
    </w:p>
    <w:p w14:paraId="32906BD9" w14:textId="77777777" w:rsidR="00D3782C" w:rsidRPr="00354243" w:rsidRDefault="00D3782C" w:rsidP="00D3782C">
      <w:r w:rsidRPr="00354243">
        <w:t xml:space="preserve">On February 12, 20X2, FAS (school/unit 370) disposed of a piece of scientific equipment. The equipment </w:t>
      </w:r>
      <w:proofErr w:type="gramStart"/>
      <w:r w:rsidRPr="00354243">
        <w:t>had been</w:t>
      </w:r>
      <w:proofErr w:type="gramEnd"/>
      <w:r w:rsidRPr="00354243">
        <w:t xml:space="preserve"> purchased in January 20X1 for $40,000. The equipment was disposed of as it was no longer functioning. This piece of equipment was not</w:t>
      </w:r>
      <w:r w:rsidRPr="00354243">
        <w:rPr>
          <w:spacing w:val="-7"/>
        </w:rPr>
        <w:t xml:space="preserve"> </w:t>
      </w:r>
      <w:r w:rsidRPr="00354243">
        <w:t>debt-financed.</w:t>
      </w:r>
    </w:p>
    <w:p w14:paraId="698633B4" w14:textId="77777777" w:rsidR="00D3782C" w:rsidRPr="00354243" w:rsidRDefault="00D3782C" w:rsidP="00D3782C">
      <w:pPr>
        <w:rPr>
          <w:i/>
        </w:rPr>
      </w:pPr>
      <w:r w:rsidRPr="00354243">
        <w:rPr>
          <w:i/>
        </w:rPr>
        <w:t xml:space="preserve">All equipment data is housed in Oracle Fixed Assets, as such, FAS’s Fixed Asset Manager will need to retire the equipment in Oracle Fixed Assets. Oracle Fixed Assets will automatically calculate the </w:t>
      </w:r>
      <w:proofErr w:type="gramStart"/>
      <w:r w:rsidRPr="00354243">
        <w:rPr>
          <w:i/>
        </w:rPr>
        <w:t>net book</w:t>
      </w:r>
      <w:proofErr w:type="gramEnd"/>
      <w:r w:rsidRPr="00354243">
        <w:rPr>
          <w:i/>
        </w:rPr>
        <w:t xml:space="preserve"> value and the corresponding loss on disposal. This asset was placed in service in January 20X1, using an </w:t>
      </w:r>
      <w:proofErr w:type="gramStart"/>
      <w:r w:rsidRPr="00354243">
        <w:rPr>
          <w:i/>
        </w:rPr>
        <w:t>8 year</w:t>
      </w:r>
      <w:proofErr w:type="gramEnd"/>
      <w:r w:rsidRPr="00354243">
        <w:rPr>
          <w:i/>
        </w:rPr>
        <w:t xml:space="preserve"> useful life with depreciation starting in the month of purchase. Depreciation is not calculated in the month of disposal. The net book value of this asset is $40,000 </w:t>
      </w:r>
      <w:proofErr w:type="gramStart"/>
      <w:r w:rsidRPr="00354243">
        <w:rPr>
          <w:i/>
        </w:rPr>
        <w:t>less</w:t>
      </w:r>
      <w:proofErr w:type="gramEnd"/>
      <w:r w:rsidRPr="00354243">
        <w:rPr>
          <w:i/>
        </w:rPr>
        <w:t xml:space="preserve"> 13 months of depreciation, $5,417, for a total of $34,583.</w:t>
      </w:r>
    </w:p>
    <w:p w14:paraId="5C7A725B" w14:textId="77777777" w:rsidR="00D3782C" w:rsidRPr="00354243" w:rsidRDefault="00D3782C" w:rsidP="00D3782C">
      <w:r w:rsidRPr="00354243">
        <w:t>The journal entries generated by Oracle Fixed Assets after FAS’s Fixed Asset Manager retires the asset in the system are automatically posted.</w:t>
      </w:r>
    </w:p>
    <w:p w14:paraId="6081F176" w14:textId="77777777" w:rsidR="00D3782C" w:rsidRDefault="00D3782C" w:rsidP="00D3782C">
      <w:pPr>
        <w:ind w:left="360"/>
      </w:pPr>
      <w:r>
        <w:rPr>
          <w:noProof/>
        </w:rPr>
        <w:drawing>
          <wp:inline distT="0" distB="0" distL="0" distR="0" wp14:anchorId="1C0E4AF2" wp14:editId="6B5DF3C3">
            <wp:extent cx="5943600" cy="4942205"/>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4"/>
                    <a:stretch>
                      <a:fillRect/>
                    </a:stretch>
                  </pic:blipFill>
                  <pic:spPr>
                    <a:xfrm>
                      <a:off x="0" y="0"/>
                      <a:ext cx="5943600" cy="4942205"/>
                    </a:xfrm>
                    <a:prstGeom prst="rect">
                      <a:avLst/>
                    </a:prstGeom>
                  </pic:spPr>
                </pic:pic>
              </a:graphicData>
            </a:graphic>
          </wp:inline>
        </w:drawing>
      </w:r>
    </w:p>
    <w:p w14:paraId="4432E612" w14:textId="77777777" w:rsidR="008A1EA9" w:rsidRDefault="008A1EA9"/>
    <w:sectPr w:rsidR="008A1EA9" w:rsidSect="000468B1">
      <w:headerReference w:type="even" r:id="rId25"/>
      <w:headerReference w:type="default" r:id="rId26"/>
      <w:footerReference w:type="even" r:id="rId27"/>
      <w:footerReference w:type="default" r:id="rId28"/>
      <w:headerReference w:type="first" r:id="rId29"/>
      <w:footerReference w:type="first" r:id="rId30"/>
      <w:pgSz w:w="12240" w:h="15840" w:code="1"/>
      <w:pgMar w:top="1440" w:right="1440" w:bottom="720" w:left="1440"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91547" w14:textId="77777777" w:rsidR="00F81090" w:rsidRDefault="00F81090">
      <w:pPr>
        <w:spacing w:after="0" w:line="240" w:lineRule="auto"/>
      </w:pPr>
      <w:r>
        <w:separator/>
      </w:r>
    </w:p>
  </w:endnote>
  <w:endnote w:type="continuationSeparator" w:id="0">
    <w:p w14:paraId="16D5E5C5" w14:textId="77777777" w:rsidR="00F81090" w:rsidRDefault="00F81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D8D18" w14:textId="77777777" w:rsidR="00F52251" w:rsidRDefault="00F522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1948"/>
      <w:docPartObj>
        <w:docPartGallery w:val="Page Numbers (Top of Page)"/>
        <w:docPartUnique/>
      </w:docPartObj>
    </w:sdtPr>
    <w:sdtEndPr/>
    <w:sdtContent>
      <w:p w14:paraId="42DF7A8A" w14:textId="77777777" w:rsidR="00DF5ABA" w:rsidRDefault="002636FA" w:rsidP="008B4186">
        <w:pPr>
          <w:pStyle w:val="Footer"/>
          <w:jc w:val="center"/>
        </w:pPr>
        <w:r w:rsidRPr="00146AD1">
          <w:rPr>
            <w:rFonts w:ascii="Arial" w:hAnsi="Arial" w:cs="Arial"/>
            <w:sz w:val="20"/>
            <w:szCs w:val="20"/>
          </w:rPr>
          <w:t xml:space="preserve">Page </w:t>
        </w:r>
        <w:r w:rsidRPr="008B4186">
          <w:rPr>
            <w:rFonts w:ascii="Arial" w:hAnsi="Arial" w:cs="Arial"/>
            <w:sz w:val="20"/>
            <w:szCs w:val="20"/>
          </w:rPr>
          <w:fldChar w:fldCharType="begin"/>
        </w:r>
        <w:r w:rsidRPr="008B4186">
          <w:rPr>
            <w:rFonts w:ascii="Arial" w:hAnsi="Arial" w:cs="Arial"/>
            <w:sz w:val="20"/>
            <w:szCs w:val="20"/>
          </w:rPr>
          <w:instrText xml:space="preserve"> PAGE </w:instrText>
        </w:r>
        <w:r w:rsidRPr="008B4186">
          <w:rPr>
            <w:rFonts w:ascii="Arial" w:hAnsi="Arial" w:cs="Arial"/>
            <w:sz w:val="20"/>
            <w:szCs w:val="20"/>
          </w:rPr>
          <w:fldChar w:fldCharType="separate"/>
        </w:r>
        <w:r>
          <w:rPr>
            <w:rFonts w:ascii="Arial" w:hAnsi="Arial" w:cs="Arial"/>
            <w:sz w:val="20"/>
            <w:szCs w:val="20"/>
          </w:rPr>
          <w:t>49</w:t>
        </w:r>
        <w:r w:rsidRPr="008B4186">
          <w:rPr>
            <w:rFonts w:ascii="Arial" w:hAnsi="Arial" w:cs="Arial"/>
            <w:sz w:val="20"/>
            <w:szCs w:val="20"/>
          </w:rPr>
          <w:fldChar w:fldCharType="end"/>
        </w:r>
        <w:r w:rsidRPr="00146AD1">
          <w:rPr>
            <w:rFonts w:ascii="Arial" w:hAnsi="Arial" w:cs="Arial"/>
            <w:sz w:val="20"/>
            <w:szCs w:val="20"/>
          </w:rPr>
          <w:t xml:space="preserve"> of </w:t>
        </w:r>
        <w:r w:rsidRPr="008B4186">
          <w:rPr>
            <w:rFonts w:ascii="Arial" w:hAnsi="Arial" w:cs="Arial"/>
            <w:sz w:val="20"/>
            <w:szCs w:val="20"/>
          </w:rPr>
          <w:fldChar w:fldCharType="begin"/>
        </w:r>
        <w:r w:rsidRPr="008B4186">
          <w:rPr>
            <w:rFonts w:ascii="Arial" w:hAnsi="Arial" w:cs="Arial"/>
            <w:sz w:val="20"/>
            <w:szCs w:val="20"/>
          </w:rPr>
          <w:instrText xml:space="preserve"> NUMPAGES  </w:instrText>
        </w:r>
        <w:r w:rsidRPr="008B4186">
          <w:rPr>
            <w:rFonts w:ascii="Arial" w:hAnsi="Arial" w:cs="Arial"/>
            <w:sz w:val="20"/>
            <w:szCs w:val="20"/>
          </w:rPr>
          <w:fldChar w:fldCharType="separate"/>
        </w:r>
        <w:r>
          <w:rPr>
            <w:rFonts w:ascii="Arial" w:hAnsi="Arial" w:cs="Arial"/>
            <w:sz w:val="20"/>
            <w:szCs w:val="20"/>
          </w:rPr>
          <w:t>52</w:t>
        </w:r>
        <w:r w:rsidRPr="008B4186">
          <w:rPr>
            <w:rFonts w:ascii="Arial" w:hAnsi="Arial" w:cs="Arial"/>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E412D" w14:textId="77777777" w:rsidR="00F52251" w:rsidRDefault="00F522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9C79D" w14:textId="77777777" w:rsidR="00F81090" w:rsidRDefault="00F81090">
      <w:pPr>
        <w:spacing w:after="0" w:line="240" w:lineRule="auto"/>
      </w:pPr>
      <w:r>
        <w:separator/>
      </w:r>
    </w:p>
  </w:footnote>
  <w:footnote w:type="continuationSeparator" w:id="0">
    <w:p w14:paraId="30CA2BF3" w14:textId="77777777" w:rsidR="00F81090" w:rsidRDefault="00F81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92C92" w14:textId="77777777" w:rsidR="00F52251" w:rsidRDefault="00F522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70ADB" w14:textId="77777777" w:rsidR="00F52251" w:rsidRPr="0082166F" w:rsidRDefault="00F52251" w:rsidP="00F52251">
    <w:pPr>
      <w:pStyle w:val="Default"/>
      <w:jc w:val="right"/>
      <w:rPr>
        <w:sz w:val="20"/>
        <w:szCs w:val="20"/>
      </w:rPr>
    </w:pPr>
    <w:r w:rsidRPr="0082166F">
      <w:rPr>
        <w:sz w:val="20"/>
        <w:szCs w:val="20"/>
      </w:rPr>
      <w:t>Financial Management of Property, Plant and Equipment</w:t>
    </w:r>
  </w:p>
  <w:p w14:paraId="31882D2E" w14:textId="77777777" w:rsidR="00F52251" w:rsidRPr="0082166F" w:rsidRDefault="00F52251" w:rsidP="00F52251">
    <w:pPr>
      <w:pStyle w:val="Default"/>
      <w:jc w:val="right"/>
      <w:rPr>
        <w:sz w:val="20"/>
        <w:szCs w:val="20"/>
      </w:rPr>
    </w:pPr>
    <w:r w:rsidRPr="0082166F">
      <w:rPr>
        <w:sz w:val="20"/>
        <w:szCs w:val="20"/>
      </w:rPr>
      <w:tab/>
      <w:t>Revision Date: 07/01/2025</w:t>
    </w:r>
  </w:p>
  <w:p w14:paraId="503A0B56" w14:textId="77777777" w:rsidR="00F52251" w:rsidRPr="0082166F" w:rsidRDefault="00F52251" w:rsidP="00F52251">
    <w:pPr>
      <w:pStyle w:val="Default"/>
      <w:jc w:val="right"/>
      <w:rPr>
        <w:sz w:val="20"/>
        <w:szCs w:val="20"/>
      </w:rPr>
    </w:pPr>
    <w:r w:rsidRPr="0082166F">
      <w:rPr>
        <w:sz w:val="20"/>
        <w:szCs w:val="20"/>
      </w:rPr>
      <w:t>http://policies.fad.harvard.edu</w:t>
    </w:r>
  </w:p>
  <w:p w14:paraId="2AFC42E3" w14:textId="77777777" w:rsidR="00F52251" w:rsidRDefault="00F522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EA509" w14:textId="77777777" w:rsidR="00F52251" w:rsidRDefault="00F522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058"/>
    <w:multiLevelType w:val="hybridMultilevel"/>
    <w:tmpl w:val="10E0A344"/>
    <w:lvl w:ilvl="0" w:tplc="D3A4D08E">
      <w:start w:val="1"/>
      <w:numFmt w:val="lowerLetter"/>
      <w:pStyle w:val="Levela"/>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C217CF"/>
    <w:multiLevelType w:val="hybridMultilevel"/>
    <w:tmpl w:val="236C36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44B6AFD"/>
    <w:multiLevelType w:val="hybridMultilevel"/>
    <w:tmpl w:val="593CAF34"/>
    <w:lvl w:ilvl="0" w:tplc="E79E1F2C">
      <w:start w:val="1"/>
      <w:numFmt w:val="decimal"/>
      <w:pStyle w:val="Level1"/>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5DF7EA8"/>
    <w:multiLevelType w:val="hybridMultilevel"/>
    <w:tmpl w:val="6AF83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97541"/>
    <w:multiLevelType w:val="hybridMultilevel"/>
    <w:tmpl w:val="0F72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B489F"/>
    <w:multiLevelType w:val="hybridMultilevel"/>
    <w:tmpl w:val="64E4DAD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 w15:restartNumberingAfterBreak="0">
    <w:nsid w:val="11F22484"/>
    <w:multiLevelType w:val="hybridMultilevel"/>
    <w:tmpl w:val="0D062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9510A0"/>
    <w:multiLevelType w:val="hybridMultilevel"/>
    <w:tmpl w:val="13B8C5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9A176BC"/>
    <w:multiLevelType w:val="hybridMultilevel"/>
    <w:tmpl w:val="DDBE6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0A7B6A"/>
    <w:multiLevelType w:val="hybridMultilevel"/>
    <w:tmpl w:val="21FC4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9A130F"/>
    <w:multiLevelType w:val="hybridMultilevel"/>
    <w:tmpl w:val="9DD2F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8357D8"/>
    <w:multiLevelType w:val="multilevel"/>
    <w:tmpl w:val="93B6276C"/>
    <w:styleLink w:val="PolicyStyle"/>
    <w:lvl w:ilvl="0">
      <w:start w:val="1"/>
      <w:numFmt w:val="upperRoman"/>
      <w:lvlText w:val="%1)"/>
      <w:lvlJc w:val="left"/>
      <w:pPr>
        <w:ind w:left="360" w:hanging="360"/>
      </w:pPr>
      <w:rPr>
        <w:rFonts w:asciiTheme="minorHAnsi" w:hAnsiTheme="minorHAnsi" w:hint="default"/>
        <w:sz w:val="20"/>
      </w:rPr>
    </w:lvl>
    <w:lvl w:ilvl="1">
      <w:start w:val="1"/>
      <w:numFmt w:val="upperLetter"/>
      <w:lvlText w:val="%2)"/>
      <w:lvlJc w:val="left"/>
      <w:pPr>
        <w:ind w:left="432" w:firstLine="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none"/>
      <w:lvlText w:val="(1.)"/>
      <w:lvlJc w:val="left"/>
      <w:pPr>
        <w:ind w:left="1800" w:hanging="360"/>
      </w:pPr>
      <w:rPr>
        <w:rFonts w:hint="default"/>
      </w:rPr>
    </w:lvl>
    <w:lvl w:ilvl="5">
      <w:start w:val="1"/>
      <w:numFmt w:val="none"/>
      <w:lvlText w:val="(a)"/>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1E61EA6"/>
    <w:multiLevelType w:val="hybridMultilevel"/>
    <w:tmpl w:val="EEF4C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F02817"/>
    <w:multiLevelType w:val="hybridMultilevel"/>
    <w:tmpl w:val="5FEC61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3453B11"/>
    <w:multiLevelType w:val="hybridMultilevel"/>
    <w:tmpl w:val="84DC72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5DD3F66"/>
    <w:multiLevelType w:val="hybridMultilevel"/>
    <w:tmpl w:val="11486E5A"/>
    <w:lvl w:ilvl="0" w:tplc="DE0CF8C6">
      <w:start w:val="1"/>
      <w:numFmt w:val="decimal"/>
      <w:pStyle w:val="Level10"/>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9777FF7"/>
    <w:multiLevelType w:val="hybridMultilevel"/>
    <w:tmpl w:val="152459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DB37AB2"/>
    <w:multiLevelType w:val="hybridMultilevel"/>
    <w:tmpl w:val="550C0EE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2DCC2495"/>
    <w:multiLevelType w:val="hybridMultilevel"/>
    <w:tmpl w:val="4D4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EE1183"/>
    <w:multiLevelType w:val="hybridMultilevel"/>
    <w:tmpl w:val="23AA79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0335F44"/>
    <w:multiLevelType w:val="hybridMultilevel"/>
    <w:tmpl w:val="D722E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A60B58"/>
    <w:multiLevelType w:val="hybridMultilevel"/>
    <w:tmpl w:val="E474F2B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2" w15:restartNumberingAfterBreak="0">
    <w:nsid w:val="332B2500"/>
    <w:multiLevelType w:val="hybridMultilevel"/>
    <w:tmpl w:val="6D3C24F2"/>
    <w:lvl w:ilvl="0" w:tplc="CD82914C">
      <w:start w:val="1"/>
      <w:numFmt w:val="upperRoman"/>
      <w:pStyle w:val="LevelI"/>
      <w:lvlText w:val="%1."/>
      <w:lvlJc w:val="left"/>
      <w:pPr>
        <w:ind w:left="720" w:hanging="720"/>
      </w:pPr>
      <w:rPr>
        <w:color w:val="000000" w:themeColor="text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4171371"/>
    <w:multiLevelType w:val="hybridMultilevel"/>
    <w:tmpl w:val="08608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C1D710F"/>
    <w:multiLevelType w:val="hybridMultilevel"/>
    <w:tmpl w:val="5C300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1F33A69"/>
    <w:multiLevelType w:val="hybridMultilevel"/>
    <w:tmpl w:val="AC780CC0"/>
    <w:lvl w:ilvl="0" w:tplc="7A1E5FC2">
      <w:start w:val="1"/>
      <w:numFmt w:val="upperLetter"/>
      <w:pStyle w:val="LevelA0"/>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3010A9"/>
    <w:multiLevelType w:val="hybridMultilevel"/>
    <w:tmpl w:val="CFB4D2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5A23B1"/>
    <w:multiLevelType w:val="hybridMultilevel"/>
    <w:tmpl w:val="E6366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600BE0"/>
    <w:multiLevelType w:val="hybridMultilevel"/>
    <w:tmpl w:val="72A22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1D37AC7"/>
    <w:multiLevelType w:val="hybridMultilevel"/>
    <w:tmpl w:val="F12CC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2A503AC"/>
    <w:multiLevelType w:val="hybridMultilevel"/>
    <w:tmpl w:val="38601B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CFD3EC1"/>
    <w:multiLevelType w:val="hybridMultilevel"/>
    <w:tmpl w:val="425C29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D672107"/>
    <w:multiLevelType w:val="hybridMultilevel"/>
    <w:tmpl w:val="49720D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84777105">
    <w:abstractNumId w:val="11"/>
  </w:num>
  <w:num w:numId="2" w16cid:durableId="1220165491">
    <w:abstractNumId w:val="22"/>
  </w:num>
  <w:num w:numId="3" w16cid:durableId="871066562">
    <w:abstractNumId w:val="25"/>
  </w:num>
  <w:num w:numId="4" w16cid:durableId="1968469029">
    <w:abstractNumId w:val="15"/>
  </w:num>
  <w:num w:numId="5" w16cid:durableId="1057439910">
    <w:abstractNumId w:val="0"/>
  </w:num>
  <w:num w:numId="6" w16cid:durableId="1280529577">
    <w:abstractNumId w:val="2"/>
  </w:num>
  <w:num w:numId="7" w16cid:durableId="1892227204">
    <w:abstractNumId w:val="15"/>
    <w:lvlOverride w:ilvl="0">
      <w:startOverride w:val="1"/>
    </w:lvlOverride>
  </w:num>
  <w:num w:numId="8" w16cid:durableId="2076972235">
    <w:abstractNumId w:val="25"/>
    <w:lvlOverride w:ilvl="0">
      <w:startOverride w:val="1"/>
    </w:lvlOverride>
  </w:num>
  <w:num w:numId="9" w16cid:durableId="554050424">
    <w:abstractNumId w:val="15"/>
    <w:lvlOverride w:ilvl="0">
      <w:startOverride w:val="1"/>
    </w:lvlOverride>
  </w:num>
  <w:num w:numId="10" w16cid:durableId="1385447821">
    <w:abstractNumId w:val="15"/>
    <w:lvlOverride w:ilvl="0">
      <w:startOverride w:val="1"/>
    </w:lvlOverride>
  </w:num>
  <w:num w:numId="11" w16cid:durableId="24988690">
    <w:abstractNumId w:val="25"/>
    <w:lvlOverride w:ilvl="0">
      <w:startOverride w:val="1"/>
    </w:lvlOverride>
  </w:num>
  <w:num w:numId="12" w16cid:durableId="1795055505">
    <w:abstractNumId w:val="15"/>
    <w:lvlOverride w:ilvl="0">
      <w:startOverride w:val="1"/>
    </w:lvlOverride>
  </w:num>
  <w:num w:numId="13" w16cid:durableId="1482307041">
    <w:abstractNumId w:val="15"/>
    <w:lvlOverride w:ilvl="0">
      <w:startOverride w:val="1"/>
    </w:lvlOverride>
  </w:num>
  <w:num w:numId="14" w16cid:durableId="1069571043">
    <w:abstractNumId w:val="25"/>
    <w:lvlOverride w:ilvl="0">
      <w:startOverride w:val="1"/>
    </w:lvlOverride>
  </w:num>
  <w:num w:numId="15" w16cid:durableId="929391644">
    <w:abstractNumId w:val="15"/>
    <w:lvlOverride w:ilvl="0">
      <w:startOverride w:val="1"/>
    </w:lvlOverride>
  </w:num>
  <w:num w:numId="16" w16cid:durableId="449130904">
    <w:abstractNumId w:val="25"/>
    <w:lvlOverride w:ilvl="0">
      <w:startOverride w:val="1"/>
    </w:lvlOverride>
  </w:num>
  <w:num w:numId="17" w16cid:durableId="520779065">
    <w:abstractNumId w:val="27"/>
  </w:num>
  <w:num w:numId="18" w16cid:durableId="1102384204">
    <w:abstractNumId w:val="22"/>
    <w:lvlOverride w:ilvl="0">
      <w:startOverride w:val="1"/>
    </w:lvlOverride>
  </w:num>
  <w:num w:numId="19" w16cid:durableId="536821081">
    <w:abstractNumId w:val="25"/>
    <w:lvlOverride w:ilvl="0">
      <w:startOverride w:val="1"/>
    </w:lvlOverride>
  </w:num>
  <w:num w:numId="20" w16cid:durableId="2079666007">
    <w:abstractNumId w:val="25"/>
    <w:lvlOverride w:ilvl="0">
      <w:startOverride w:val="1"/>
    </w:lvlOverride>
  </w:num>
  <w:num w:numId="21" w16cid:durableId="317076401">
    <w:abstractNumId w:val="25"/>
    <w:lvlOverride w:ilvl="0">
      <w:startOverride w:val="1"/>
    </w:lvlOverride>
  </w:num>
  <w:num w:numId="22" w16cid:durableId="745151332">
    <w:abstractNumId w:val="4"/>
  </w:num>
  <w:num w:numId="23" w16cid:durableId="1490367876">
    <w:abstractNumId w:val="22"/>
    <w:lvlOverride w:ilvl="0">
      <w:startOverride w:val="1"/>
    </w:lvlOverride>
  </w:num>
  <w:num w:numId="24" w16cid:durableId="475684842">
    <w:abstractNumId w:val="25"/>
    <w:lvlOverride w:ilvl="0">
      <w:startOverride w:val="1"/>
    </w:lvlOverride>
  </w:num>
  <w:num w:numId="25" w16cid:durableId="1148279185">
    <w:abstractNumId w:val="28"/>
  </w:num>
  <w:num w:numId="26" w16cid:durableId="1956329913">
    <w:abstractNumId w:val="14"/>
  </w:num>
  <w:num w:numId="27" w16cid:durableId="888763965">
    <w:abstractNumId w:val="15"/>
    <w:lvlOverride w:ilvl="0">
      <w:startOverride w:val="1"/>
    </w:lvlOverride>
  </w:num>
  <w:num w:numId="28" w16cid:durableId="1457597222">
    <w:abstractNumId w:val="7"/>
  </w:num>
  <w:num w:numId="29" w16cid:durableId="175273444">
    <w:abstractNumId w:val="15"/>
    <w:lvlOverride w:ilvl="0">
      <w:startOverride w:val="1"/>
    </w:lvlOverride>
  </w:num>
  <w:num w:numId="30" w16cid:durableId="1728870469">
    <w:abstractNumId w:val="0"/>
    <w:lvlOverride w:ilvl="0">
      <w:startOverride w:val="1"/>
    </w:lvlOverride>
  </w:num>
  <w:num w:numId="31" w16cid:durableId="1602952985">
    <w:abstractNumId w:val="26"/>
  </w:num>
  <w:num w:numId="32" w16cid:durableId="216016892">
    <w:abstractNumId w:val="16"/>
  </w:num>
  <w:num w:numId="33" w16cid:durableId="1896233777">
    <w:abstractNumId w:val="1"/>
  </w:num>
  <w:num w:numId="34" w16cid:durableId="1194197772">
    <w:abstractNumId w:val="13"/>
  </w:num>
  <w:num w:numId="35" w16cid:durableId="1469670055">
    <w:abstractNumId w:val="31"/>
  </w:num>
  <w:num w:numId="36" w16cid:durableId="1020473092">
    <w:abstractNumId w:val="15"/>
    <w:lvlOverride w:ilvl="0">
      <w:startOverride w:val="1"/>
    </w:lvlOverride>
  </w:num>
  <w:num w:numId="37" w16cid:durableId="495808750">
    <w:abstractNumId w:val="12"/>
  </w:num>
  <w:num w:numId="38" w16cid:durableId="1014499974">
    <w:abstractNumId w:val="29"/>
  </w:num>
  <w:num w:numId="39" w16cid:durableId="1843427503">
    <w:abstractNumId w:val="23"/>
  </w:num>
  <w:num w:numId="40" w16cid:durableId="1915040487">
    <w:abstractNumId w:val="5"/>
  </w:num>
  <w:num w:numId="41" w16cid:durableId="304433807">
    <w:abstractNumId w:val="25"/>
    <w:lvlOverride w:ilvl="0">
      <w:startOverride w:val="1"/>
    </w:lvlOverride>
  </w:num>
  <w:num w:numId="42" w16cid:durableId="49496786">
    <w:abstractNumId w:val="20"/>
  </w:num>
  <w:num w:numId="43" w16cid:durableId="1815562182">
    <w:abstractNumId w:val="18"/>
  </w:num>
  <w:num w:numId="44" w16cid:durableId="1701008803">
    <w:abstractNumId w:val="10"/>
  </w:num>
  <w:num w:numId="45" w16cid:durableId="1201936182">
    <w:abstractNumId w:val="21"/>
  </w:num>
  <w:num w:numId="46" w16cid:durableId="1080978948">
    <w:abstractNumId w:val="6"/>
  </w:num>
  <w:num w:numId="47" w16cid:durableId="551425065">
    <w:abstractNumId w:val="17"/>
  </w:num>
  <w:num w:numId="48" w16cid:durableId="1693069609">
    <w:abstractNumId w:val="22"/>
    <w:lvlOverride w:ilvl="0">
      <w:startOverride w:val="1"/>
    </w:lvlOverride>
  </w:num>
  <w:num w:numId="49" w16cid:durableId="1781877156">
    <w:abstractNumId w:val="25"/>
    <w:lvlOverride w:ilvl="0">
      <w:startOverride w:val="1"/>
    </w:lvlOverride>
  </w:num>
  <w:num w:numId="50" w16cid:durableId="844397749">
    <w:abstractNumId w:val="15"/>
    <w:lvlOverride w:ilvl="0">
      <w:startOverride w:val="1"/>
    </w:lvlOverride>
  </w:num>
  <w:num w:numId="51" w16cid:durableId="1779328985">
    <w:abstractNumId w:val="0"/>
    <w:lvlOverride w:ilvl="0">
      <w:startOverride w:val="1"/>
    </w:lvlOverride>
  </w:num>
  <w:num w:numId="52" w16cid:durableId="1421950729">
    <w:abstractNumId w:val="15"/>
    <w:lvlOverride w:ilvl="0">
      <w:startOverride w:val="1"/>
    </w:lvlOverride>
  </w:num>
  <w:num w:numId="53" w16cid:durableId="1629125124">
    <w:abstractNumId w:val="19"/>
  </w:num>
  <w:num w:numId="54" w16cid:durableId="21790134">
    <w:abstractNumId w:val="30"/>
  </w:num>
  <w:num w:numId="55" w16cid:durableId="910653976">
    <w:abstractNumId w:val="24"/>
  </w:num>
  <w:num w:numId="56" w16cid:durableId="2127381792">
    <w:abstractNumId w:val="9"/>
  </w:num>
  <w:num w:numId="57" w16cid:durableId="1768505080">
    <w:abstractNumId w:val="32"/>
  </w:num>
  <w:num w:numId="58" w16cid:durableId="1291472320">
    <w:abstractNumId w:val="3"/>
  </w:num>
  <w:num w:numId="59" w16cid:durableId="1129277976">
    <w:abstractNumId w:val="8"/>
  </w:num>
  <w:num w:numId="60" w16cid:durableId="183401241">
    <w:abstractNumId w:val="25"/>
    <w:lvlOverride w:ilvl="0">
      <w:startOverride w:val="1"/>
    </w:lvlOverride>
  </w:num>
  <w:num w:numId="61" w16cid:durableId="1848863624">
    <w:abstractNumId w:val="25"/>
    <w:lvlOverride w:ilvl="0">
      <w:startOverride w:val="1"/>
    </w:lvlOverride>
  </w:num>
  <w:num w:numId="62" w16cid:durableId="665286279">
    <w:abstractNumId w:val="25"/>
  </w:num>
  <w:num w:numId="63" w16cid:durableId="1700353620">
    <w:abstractNumId w:val="25"/>
    <w:lvlOverride w:ilvl="0">
      <w:startOverride w:val="1"/>
    </w:lvlOverride>
  </w:num>
  <w:num w:numId="64" w16cid:durableId="361053324">
    <w:abstractNumId w:val="25"/>
    <w:lvlOverride w:ilvl="0">
      <w:startOverride w:val="1"/>
    </w:lvlOverride>
  </w:num>
  <w:num w:numId="65" w16cid:durableId="1338538335">
    <w:abstractNumId w:val="25"/>
    <w:lvlOverride w:ilvl="0">
      <w:startOverride w:val="1"/>
    </w:lvlOverride>
  </w:num>
  <w:num w:numId="66" w16cid:durableId="1214080163">
    <w:abstractNumId w:val="25"/>
    <w:lvlOverride w:ilvl="0">
      <w:startOverride w:val="1"/>
    </w:lvlOverride>
  </w:num>
  <w:num w:numId="67" w16cid:durableId="493375012">
    <w:abstractNumId w:val="25"/>
    <w:lvlOverride w:ilvl="0">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ciGmtk4hJuYaBNBq/6mH0NlXcK1wZIW+dlh5CAzUnQmpYQMqgclyyjc/VYRpea4RpnK0DY+0gjgzTQM0+NuEg==" w:salt="dWKhhKwVIP+9B157Ac/h7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82C"/>
    <w:rsid w:val="0002165C"/>
    <w:rsid w:val="00022126"/>
    <w:rsid w:val="00037F04"/>
    <w:rsid w:val="000468B1"/>
    <w:rsid w:val="0005649E"/>
    <w:rsid w:val="000753D9"/>
    <w:rsid w:val="00082E7C"/>
    <w:rsid w:val="000B7562"/>
    <w:rsid w:val="000D0D8F"/>
    <w:rsid w:val="000D7E3C"/>
    <w:rsid w:val="000E4355"/>
    <w:rsid w:val="000F56DF"/>
    <w:rsid w:val="00105261"/>
    <w:rsid w:val="00132158"/>
    <w:rsid w:val="00132A4D"/>
    <w:rsid w:val="00142D4E"/>
    <w:rsid w:val="001575D6"/>
    <w:rsid w:val="00173593"/>
    <w:rsid w:val="001950D0"/>
    <w:rsid w:val="001A05AF"/>
    <w:rsid w:val="001A6144"/>
    <w:rsid w:val="001B6F27"/>
    <w:rsid w:val="001C36D1"/>
    <w:rsid w:val="001F780F"/>
    <w:rsid w:val="002636FA"/>
    <w:rsid w:val="00270988"/>
    <w:rsid w:val="00281B4C"/>
    <w:rsid w:val="002C135E"/>
    <w:rsid w:val="002C3052"/>
    <w:rsid w:val="002C49E9"/>
    <w:rsid w:val="002D0AD0"/>
    <w:rsid w:val="002F760F"/>
    <w:rsid w:val="00321334"/>
    <w:rsid w:val="00355430"/>
    <w:rsid w:val="003B4189"/>
    <w:rsid w:val="003C6247"/>
    <w:rsid w:val="003F13D8"/>
    <w:rsid w:val="00402B50"/>
    <w:rsid w:val="00405437"/>
    <w:rsid w:val="00434511"/>
    <w:rsid w:val="004436AC"/>
    <w:rsid w:val="0044434E"/>
    <w:rsid w:val="00454E45"/>
    <w:rsid w:val="00466ED9"/>
    <w:rsid w:val="004A1838"/>
    <w:rsid w:val="004B12E6"/>
    <w:rsid w:val="004C2615"/>
    <w:rsid w:val="004E0A60"/>
    <w:rsid w:val="0050537C"/>
    <w:rsid w:val="005123B6"/>
    <w:rsid w:val="005331D0"/>
    <w:rsid w:val="00554F37"/>
    <w:rsid w:val="00557C62"/>
    <w:rsid w:val="00564D75"/>
    <w:rsid w:val="0058597E"/>
    <w:rsid w:val="00591F00"/>
    <w:rsid w:val="00595499"/>
    <w:rsid w:val="005C4546"/>
    <w:rsid w:val="005E60F8"/>
    <w:rsid w:val="00604048"/>
    <w:rsid w:val="0065050E"/>
    <w:rsid w:val="0067441F"/>
    <w:rsid w:val="0068200C"/>
    <w:rsid w:val="00686C4F"/>
    <w:rsid w:val="006A19E0"/>
    <w:rsid w:val="006B2233"/>
    <w:rsid w:val="006B5017"/>
    <w:rsid w:val="006B583C"/>
    <w:rsid w:val="006C669B"/>
    <w:rsid w:val="006D5A92"/>
    <w:rsid w:val="00710AC7"/>
    <w:rsid w:val="00714D78"/>
    <w:rsid w:val="0075039E"/>
    <w:rsid w:val="00761ECA"/>
    <w:rsid w:val="00785364"/>
    <w:rsid w:val="007B75B2"/>
    <w:rsid w:val="007B7892"/>
    <w:rsid w:val="007E7BF9"/>
    <w:rsid w:val="007F2586"/>
    <w:rsid w:val="008103A3"/>
    <w:rsid w:val="00845A2A"/>
    <w:rsid w:val="008518BE"/>
    <w:rsid w:val="00860C07"/>
    <w:rsid w:val="00880B99"/>
    <w:rsid w:val="0089455F"/>
    <w:rsid w:val="00895670"/>
    <w:rsid w:val="008A1EA9"/>
    <w:rsid w:val="008B7CFA"/>
    <w:rsid w:val="008D6C36"/>
    <w:rsid w:val="008F6EB3"/>
    <w:rsid w:val="008F7A10"/>
    <w:rsid w:val="008F7A39"/>
    <w:rsid w:val="0091328E"/>
    <w:rsid w:val="0093420D"/>
    <w:rsid w:val="00942EF2"/>
    <w:rsid w:val="00972F11"/>
    <w:rsid w:val="00983AA0"/>
    <w:rsid w:val="009960CF"/>
    <w:rsid w:val="009B7D48"/>
    <w:rsid w:val="009C13ED"/>
    <w:rsid w:val="009E5DA2"/>
    <w:rsid w:val="009E5EF8"/>
    <w:rsid w:val="00A10FAC"/>
    <w:rsid w:val="00A11EDD"/>
    <w:rsid w:val="00A12726"/>
    <w:rsid w:val="00A52C52"/>
    <w:rsid w:val="00A742C7"/>
    <w:rsid w:val="00A9013C"/>
    <w:rsid w:val="00A9141A"/>
    <w:rsid w:val="00AA31A2"/>
    <w:rsid w:val="00AB2257"/>
    <w:rsid w:val="00AF3D4A"/>
    <w:rsid w:val="00B5547E"/>
    <w:rsid w:val="00B60A4B"/>
    <w:rsid w:val="00B85CE9"/>
    <w:rsid w:val="00BA282B"/>
    <w:rsid w:val="00BB5475"/>
    <w:rsid w:val="00BC786E"/>
    <w:rsid w:val="00C1402B"/>
    <w:rsid w:val="00C216EA"/>
    <w:rsid w:val="00C41EBC"/>
    <w:rsid w:val="00C70B13"/>
    <w:rsid w:val="00CD5510"/>
    <w:rsid w:val="00D3157A"/>
    <w:rsid w:val="00D3782C"/>
    <w:rsid w:val="00D46D85"/>
    <w:rsid w:val="00D81970"/>
    <w:rsid w:val="00D85CA0"/>
    <w:rsid w:val="00D902E7"/>
    <w:rsid w:val="00D972A2"/>
    <w:rsid w:val="00DB71EC"/>
    <w:rsid w:val="00DC1A49"/>
    <w:rsid w:val="00DC3191"/>
    <w:rsid w:val="00DD0A8A"/>
    <w:rsid w:val="00DF5ABA"/>
    <w:rsid w:val="00E12136"/>
    <w:rsid w:val="00E42BE2"/>
    <w:rsid w:val="00E56912"/>
    <w:rsid w:val="00E6323F"/>
    <w:rsid w:val="00E647C6"/>
    <w:rsid w:val="00E814C9"/>
    <w:rsid w:val="00E963C2"/>
    <w:rsid w:val="00E9703F"/>
    <w:rsid w:val="00EA5D43"/>
    <w:rsid w:val="00ED04C6"/>
    <w:rsid w:val="00ED66EF"/>
    <w:rsid w:val="00EE4B55"/>
    <w:rsid w:val="00EE63C4"/>
    <w:rsid w:val="00EF509E"/>
    <w:rsid w:val="00F02514"/>
    <w:rsid w:val="00F31F50"/>
    <w:rsid w:val="00F457A0"/>
    <w:rsid w:val="00F45D76"/>
    <w:rsid w:val="00F52251"/>
    <w:rsid w:val="00F81090"/>
    <w:rsid w:val="00F929B2"/>
    <w:rsid w:val="00F97343"/>
    <w:rsid w:val="00FA2EB4"/>
    <w:rsid w:val="00FA63F3"/>
    <w:rsid w:val="00FC0A1C"/>
    <w:rsid w:val="00FD3B91"/>
    <w:rsid w:val="00FD6E1C"/>
    <w:rsid w:val="00FF245B"/>
    <w:rsid w:val="00FF2BF0"/>
    <w:rsid w:val="015D8B31"/>
    <w:rsid w:val="04BC70C2"/>
    <w:rsid w:val="05816E9D"/>
    <w:rsid w:val="0629C7F0"/>
    <w:rsid w:val="06590BD4"/>
    <w:rsid w:val="091AD4BD"/>
    <w:rsid w:val="09B11E3A"/>
    <w:rsid w:val="09BCA8D2"/>
    <w:rsid w:val="12BD4267"/>
    <w:rsid w:val="1302EB9A"/>
    <w:rsid w:val="1356102F"/>
    <w:rsid w:val="1410770F"/>
    <w:rsid w:val="1715B8B8"/>
    <w:rsid w:val="172A15AA"/>
    <w:rsid w:val="1830D158"/>
    <w:rsid w:val="1B3E0584"/>
    <w:rsid w:val="1BEB0EB2"/>
    <w:rsid w:val="1BF36906"/>
    <w:rsid w:val="1D26D097"/>
    <w:rsid w:val="1E740AE1"/>
    <w:rsid w:val="2032B3D6"/>
    <w:rsid w:val="22DA15B0"/>
    <w:rsid w:val="2399A8FC"/>
    <w:rsid w:val="23E0D00C"/>
    <w:rsid w:val="261CCB4D"/>
    <w:rsid w:val="2BCCA63C"/>
    <w:rsid w:val="2CACD74A"/>
    <w:rsid w:val="2E59E374"/>
    <w:rsid w:val="2FE49A21"/>
    <w:rsid w:val="3069C16B"/>
    <w:rsid w:val="313AB3F4"/>
    <w:rsid w:val="33D8210A"/>
    <w:rsid w:val="36798B8A"/>
    <w:rsid w:val="3B0C0F2A"/>
    <w:rsid w:val="3D0FAC2E"/>
    <w:rsid w:val="40E95D44"/>
    <w:rsid w:val="41D35F12"/>
    <w:rsid w:val="47AFD61C"/>
    <w:rsid w:val="489449B3"/>
    <w:rsid w:val="4BFF6A4D"/>
    <w:rsid w:val="4CDBD58D"/>
    <w:rsid w:val="4EBBE016"/>
    <w:rsid w:val="502FE424"/>
    <w:rsid w:val="517824D0"/>
    <w:rsid w:val="52643869"/>
    <w:rsid w:val="532DD268"/>
    <w:rsid w:val="53415DA3"/>
    <w:rsid w:val="536D1697"/>
    <w:rsid w:val="54546DEA"/>
    <w:rsid w:val="5627D7B0"/>
    <w:rsid w:val="5934C6AD"/>
    <w:rsid w:val="598F4A4D"/>
    <w:rsid w:val="5B889656"/>
    <w:rsid w:val="5F463E34"/>
    <w:rsid w:val="608AEB4E"/>
    <w:rsid w:val="60DC7BD3"/>
    <w:rsid w:val="6242A020"/>
    <w:rsid w:val="627DD21F"/>
    <w:rsid w:val="67A4BECD"/>
    <w:rsid w:val="684EC395"/>
    <w:rsid w:val="6997706A"/>
    <w:rsid w:val="6F00A106"/>
    <w:rsid w:val="73E47039"/>
    <w:rsid w:val="7670CC61"/>
    <w:rsid w:val="77C4C048"/>
    <w:rsid w:val="79697A73"/>
    <w:rsid w:val="79B38C56"/>
    <w:rsid w:val="7B6CC6E2"/>
    <w:rsid w:val="7BF1B4B3"/>
    <w:rsid w:val="7CD3A8EB"/>
    <w:rsid w:val="7E1319FE"/>
    <w:rsid w:val="7EEBCE4D"/>
    <w:rsid w:val="7FD54E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F76D6"/>
  <w15:chartTrackingRefBased/>
  <w15:docId w15:val="{F56EDA34-4527-4524-B4B9-25CF95419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82C"/>
    <w:pPr>
      <w:spacing w:after="120" w:line="247" w:lineRule="auto"/>
    </w:pPr>
    <w:rPr>
      <w:kern w:val="0"/>
      <w:sz w:val="22"/>
      <w:szCs w:val="22"/>
      <w14:ligatures w14:val="none"/>
    </w:rPr>
  </w:style>
  <w:style w:type="paragraph" w:styleId="Heading1">
    <w:name w:val="heading 1"/>
    <w:basedOn w:val="Normal"/>
    <w:next w:val="Normal"/>
    <w:link w:val="Heading1Char"/>
    <w:qFormat/>
    <w:rsid w:val="00D378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D378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D378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D378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1"/>
    <w:unhideWhenUsed/>
    <w:qFormat/>
    <w:rsid w:val="00D378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78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8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8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8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8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D378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rsid w:val="00D378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D378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1"/>
    <w:rsid w:val="00D378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78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8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8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82C"/>
    <w:rPr>
      <w:rFonts w:eastAsiaTheme="majorEastAsia" w:cstheme="majorBidi"/>
      <w:color w:val="272727" w:themeColor="text1" w:themeTint="D8"/>
    </w:rPr>
  </w:style>
  <w:style w:type="paragraph" w:styleId="Title">
    <w:name w:val="Title"/>
    <w:basedOn w:val="Normal"/>
    <w:next w:val="Normal"/>
    <w:link w:val="TitleChar"/>
    <w:qFormat/>
    <w:rsid w:val="00D378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378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D378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D378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82C"/>
    <w:pPr>
      <w:spacing w:before="160"/>
      <w:jc w:val="center"/>
    </w:pPr>
    <w:rPr>
      <w:i/>
      <w:iCs/>
      <w:color w:val="404040" w:themeColor="text1" w:themeTint="BF"/>
    </w:rPr>
  </w:style>
  <w:style w:type="character" w:customStyle="1" w:styleId="QuoteChar">
    <w:name w:val="Quote Char"/>
    <w:basedOn w:val="DefaultParagraphFont"/>
    <w:link w:val="Quote"/>
    <w:uiPriority w:val="29"/>
    <w:rsid w:val="00D3782C"/>
    <w:rPr>
      <w:i/>
      <w:iCs/>
      <w:color w:val="404040" w:themeColor="text1" w:themeTint="BF"/>
    </w:rPr>
  </w:style>
  <w:style w:type="paragraph" w:styleId="ListParagraph">
    <w:name w:val="List Paragraph"/>
    <w:basedOn w:val="Normal"/>
    <w:uiPriority w:val="34"/>
    <w:qFormat/>
    <w:rsid w:val="00D3782C"/>
    <w:pPr>
      <w:ind w:left="720"/>
      <w:contextualSpacing/>
    </w:pPr>
  </w:style>
  <w:style w:type="character" w:styleId="IntenseEmphasis">
    <w:name w:val="Intense Emphasis"/>
    <w:basedOn w:val="DefaultParagraphFont"/>
    <w:uiPriority w:val="21"/>
    <w:qFormat/>
    <w:rsid w:val="00D3782C"/>
    <w:rPr>
      <w:i/>
      <w:iCs/>
      <w:color w:val="0F4761" w:themeColor="accent1" w:themeShade="BF"/>
    </w:rPr>
  </w:style>
  <w:style w:type="paragraph" w:styleId="IntenseQuote">
    <w:name w:val="Intense Quote"/>
    <w:aliases w:val="Policy Header"/>
    <w:basedOn w:val="Normal"/>
    <w:next w:val="Normal"/>
    <w:link w:val="IntenseQuoteChar"/>
    <w:uiPriority w:val="30"/>
    <w:qFormat/>
    <w:rsid w:val="00D378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aliases w:val="Policy Header Char"/>
    <w:basedOn w:val="DefaultParagraphFont"/>
    <w:link w:val="IntenseQuote"/>
    <w:uiPriority w:val="30"/>
    <w:rsid w:val="00D3782C"/>
    <w:rPr>
      <w:i/>
      <w:iCs/>
      <w:color w:val="0F4761" w:themeColor="accent1" w:themeShade="BF"/>
    </w:rPr>
  </w:style>
  <w:style w:type="character" w:styleId="IntenseReference">
    <w:name w:val="Intense Reference"/>
    <w:basedOn w:val="DefaultParagraphFont"/>
    <w:uiPriority w:val="32"/>
    <w:qFormat/>
    <w:rsid w:val="00D3782C"/>
    <w:rPr>
      <w:b/>
      <w:bCs/>
      <w:smallCaps/>
      <w:color w:val="0F4761" w:themeColor="accent1" w:themeShade="BF"/>
      <w:spacing w:val="5"/>
    </w:rPr>
  </w:style>
  <w:style w:type="paragraph" w:styleId="Footer">
    <w:name w:val="footer"/>
    <w:basedOn w:val="Normal"/>
    <w:link w:val="FooterChar"/>
    <w:uiPriority w:val="99"/>
    <w:rsid w:val="00D3782C"/>
    <w:pPr>
      <w:tabs>
        <w:tab w:val="center" w:pos="4680"/>
        <w:tab w:val="right" w:pos="9360"/>
      </w:tabs>
    </w:pPr>
  </w:style>
  <w:style w:type="character" w:customStyle="1" w:styleId="FooterChar">
    <w:name w:val="Footer Char"/>
    <w:basedOn w:val="DefaultParagraphFont"/>
    <w:link w:val="Footer"/>
    <w:uiPriority w:val="99"/>
    <w:rsid w:val="00D3782C"/>
    <w:rPr>
      <w:kern w:val="0"/>
      <w:sz w:val="22"/>
      <w:szCs w:val="22"/>
      <w14:ligatures w14:val="none"/>
    </w:rPr>
  </w:style>
  <w:style w:type="character" w:styleId="Hyperlink">
    <w:name w:val="Hyperlink"/>
    <w:basedOn w:val="DefaultParagraphFont"/>
    <w:rsid w:val="00D3782C"/>
    <w:rPr>
      <w:color w:val="467886" w:themeColor="hyperlink"/>
      <w:u w:val="single"/>
    </w:rPr>
  </w:style>
  <w:style w:type="character" w:styleId="CommentReference">
    <w:name w:val="annotation reference"/>
    <w:basedOn w:val="DefaultParagraphFont"/>
    <w:semiHidden/>
    <w:unhideWhenUsed/>
    <w:rsid w:val="00D3782C"/>
    <w:rPr>
      <w:sz w:val="16"/>
      <w:szCs w:val="16"/>
    </w:rPr>
  </w:style>
  <w:style w:type="paragraph" w:styleId="CommentText">
    <w:name w:val="annotation text"/>
    <w:basedOn w:val="Normal"/>
    <w:link w:val="CommentTextChar"/>
    <w:unhideWhenUsed/>
    <w:rsid w:val="00D3782C"/>
    <w:pPr>
      <w:spacing w:line="240" w:lineRule="auto"/>
    </w:pPr>
    <w:rPr>
      <w:sz w:val="20"/>
      <w:szCs w:val="20"/>
    </w:rPr>
  </w:style>
  <w:style w:type="character" w:customStyle="1" w:styleId="CommentTextChar">
    <w:name w:val="Comment Text Char"/>
    <w:basedOn w:val="DefaultParagraphFont"/>
    <w:link w:val="CommentText"/>
    <w:rsid w:val="00D3782C"/>
    <w:rPr>
      <w:kern w:val="0"/>
      <w:sz w:val="20"/>
      <w:szCs w:val="20"/>
      <w14:ligatures w14:val="none"/>
    </w:rPr>
  </w:style>
  <w:style w:type="paragraph" w:styleId="CommentSubject">
    <w:name w:val="annotation subject"/>
    <w:basedOn w:val="CommentText"/>
    <w:next w:val="CommentText"/>
    <w:link w:val="CommentSubjectChar"/>
    <w:semiHidden/>
    <w:unhideWhenUsed/>
    <w:rsid w:val="00D3782C"/>
    <w:rPr>
      <w:b/>
      <w:bCs/>
    </w:rPr>
  </w:style>
  <w:style w:type="character" w:customStyle="1" w:styleId="CommentSubjectChar">
    <w:name w:val="Comment Subject Char"/>
    <w:basedOn w:val="CommentTextChar"/>
    <w:link w:val="CommentSubject"/>
    <w:semiHidden/>
    <w:rsid w:val="00D3782C"/>
    <w:rPr>
      <w:b/>
      <w:bCs/>
      <w:kern w:val="0"/>
      <w:sz w:val="20"/>
      <w:szCs w:val="20"/>
      <w14:ligatures w14:val="none"/>
    </w:rPr>
  </w:style>
  <w:style w:type="numbering" w:customStyle="1" w:styleId="PolicyStyle">
    <w:name w:val="Policy Style"/>
    <w:uiPriority w:val="99"/>
    <w:rsid w:val="00D3782C"/>
    <w:pPr>
      <w:numPr>
        <w:numId w:val="1"/>
      </w:numPr>
    </w:pPr>
  </w:style>
  <w:style w:type="table" w:styleId="TableGrid">
    <w:name w:val="Table Grid"/>
    <w:basedOn w:val="TableNormal"/>
    <w:rsid w:val="00D3782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3782C"/>
    <w:rPr>
      <w:color w:val="605E5C"/>
      <w:shd w:val="clear" w:color="auto" w:fill="E1DFDD"/>
    </w:rPr>
  </w:style>
  <w:style w:type="paragraph" w:customStyle="1" w:styleId="UPHeading1">
    <w:name w:val="UP Heading 1"/>
    <w:basedOn w:val="Normal"/>
    <w:link w:val="UPHeading1Char"/>
    <w:qFormat/>
    <w:rsid w:val="00D3782C"/>
    <w:pPr>
      <w:pBdr>
        <w:top w:val="single" w:sz="12" w:space="1" w:color="C00000"/>
      </w:pBdr>
      <w:spacing w:before="120" w:line="240" w:lineRule="auto"/>
      <w:outlineLvl w:val="1"/>
    </w:pPr>
    <w:rPr>
      <w:rFonts w:ascii="Arial" w:hAnsi="Arial" w:cs="Arial"/>
      <w:b/>
    </w:rPr>
  </w:style>
  <w:style w:type="character" w:customStyle="1" w:styleId="UPHeading1Char">
    <w:name w:val="UP Heading 1 Char"/>
    <w:basedOn w:val="DefaultParagraphFont"/>
    <w:link w:val="UPHeading1"/>
    <w:rsid w:val="00D3782C"/>
    <w:rPr>
      <w:rFonts w:ascii="Arial" w:hAnsi="Arial" w:cs="Arial"/>
      <w:b/>
      <w:kern w:val="0"/>
      <w:sz w:val="22"/>
      <w:szCs w:val="22"/>
      <w14:ligatures w14:val="none"/>
    </w:rPr>
  </w:style>
  <w:style w:type="paragraph" w:customStyle="1" w:styleId="LevelI">
    <w:name w:val="Level I"/>
    <w:basedOn w:val="ListParagraph"/>
    <w:autoRedefine/>
    <w:qFormat/>
    <w:rsid w:val="00D3782C"/>
    <w:pPr>
      <w:numPr>
        <w:numId w:val="2"/>
      </w:numPr>
      <w:ind w:left="540" w:hanging="540"/>
    </w:pPr>
    <w:rPr>
      <w:b/>
    </w:rPr>
  </w:style>
  <w:style w:type="paragraph" w:customStyle="1" w:styleId="LevelA0">
    <w:name w:val="Level A"/>
    <w:basedOn w:val="ListParagraph"/>
    <w:autoRedefine/>
    <w:qFormat/>
    <w:rsid w:val="00E12136"/>
    <w:pPr>
      <w:numPr>
        <w:numId w:val="3"/>
      </w:numPr>
    </w:pPr>
    <w:rPr>
      <w:rFonts w:cstheme="minorHAnsi"/>
      <w:bCs/>
      <w:color w:val="000000"/>
      <w:lang w:val=""/>
    </w:rPr>
  </w:style>
  <w:style w:type="paragraph" w:customStyle="1" w:styleId="Level10">
    <w:name w:val="Level 1"/>
    <w:basedOn w:val="ListParagraph"/>
    <w:autoRedefine/>
    <w:qFormat/>
    <w:rsid w:val="00D3782C"/>
    <w:pPr>
      <w:numPr>
        <w:numId w:val="4"/>
      </w:numPr>
    </w:pPr>
  </w:style>
  <w:style w:type="paragraph" w:customStyle="1" w:styleId="Levela">
    <w:name w:val="Level a."/>
    <w:basedOn w:val="ListParagraph"/>
    <w:autoRedefine/>
    <w:qFormat/>
    <w:rsid w:val="00D3782C"/>
    <w:pPr>
      <w:numPr>
        <w:numId w:val="5"/>
      </w:numPr>
    </w:pPr>
  </w:style>
  <w:style w:type="paragraph" w:customStyle="1" w:styleId="Level1">
    <w:name w:val="Level (1.)"/>
    <w:basedOn w:val="ListParagraph"/>
    <w:autoRedefine/>
    <w:qFormat/>
    <w:rsid w:val="00D3782C"/>
    <w:pPr>
      <w:numPr>
        <w:numId w:val="6"/>
      </w:numPr>
    </w:pPr>
  </w:style>
  <w:style w:type="paragraph" w:styleId="BodyText">
    <w:name w:val="Body Text"/>
    <w:basedOn w:val="Normal"/>
    <w:link w:val="BodyTextChar"/>
    <w:uiPriority w:val="1"/>
    <w:qFormat/>
    <w:rsid w:val="00D3782C"/>
    <w:pPr>
      <w:widowControl w:val="0"/>
      <w:autoSpaceDE w:val="0"/>
      <w:autoSpaceDN w:val="0"/>
      <w:spacing w:after="0" w:line="240" w:lineRule="auto"/>
    </w:pPr>
    <w:rPr>
      <w:rFonts w:ascii="Calibri" w:eastAsia="Calibri" w:hAnsi="Calibri" w:cs="Calibri"/>
      <w:sz w:val="20"/>
      <w:szCs w:val="20"/>
    </w:rPr>
  </w:style>
  <w:style w:type="character" w:customStyle="1" w:styleId="BodyTextChar">
    <w:name w:val="Body Text Char"/>
    <w:basedOn w:val="DefaultParagraphFont"/>
    <w:link w:val="BodyText"/>
    <w:uiPriority w:val="1"/>
    <w:rsid w:val="00D3782C"/>
    <w:rPr>
      <w:rFonts w:ascii="Calibri" w:eastAsia="Calibri" w:hAnsi="Calibri" w:cs="Calibri"/>
      <w:kern w:val="0"/>
      <w:sz w:val="20"/>
      <w:szCs w:val="20"/>
      <w14:ligatures w14:val="none"/>
    </w:rPr>
  </w:style>
  <w:style w:type="paragraph" w:styleId="NoSpacing">
    <w:name w:val="No Spacing"/>
    <w:link w:val="NoSpacingChar"/>
    <w:uiPriority w:val="1"/>
    <w:qFormat/>
    <w:rsid w:val="00D3782C"/>
    <w:pPr>
      <w:spacing w:after="0" w:line="240" w:lineRule="auto"/>
    </w:pPr>
    <w:rPr>
      <w:kern w:val="0"/>
      <w:sz w:val="22"/>
      <w:szCs w:val="22"/>
      <w14:ligatures w14:val="none"/>
    </w:rPr>
  </w:style>
  <w:style w:type="character" w:customStyle="1" w:styleId="NoSpacingChar">
    <w:name w:val="No Spacing Char"/>
    <w:basedOn w:val="DefaultParagraphFont"/>
    <w:link w:val="NoSpacing"/>
    <w:uiPriority w:val="1"/>
    <w:rsid w:val="00D3782C"/>
    <w:rPr>
      <w:kern w:val="0"/>
      <w:sz w:val="22"/>
      <w:szCs w:val="22"/>
      <w14:ligatures w14:val="none"/>
    </w:rPr>
  </w:style>
  <w:style w:type="paragraph" w:styleId="Header">
    <w:name w:val="header"/>
    <w:basedOn w:val="Normal"/>
    <w:link w:val="HeaderChar"/>
    <w:uiPriority w:val="99"/>
    <w:unhideWhenUsed/>
    <w:rsid w:val="00D3782C"/>
    <w:pPr>
      <w:widowControl w:val="0"/>
      <w:tabs>
        <w:tab w:val="center" w:pos="4680"/>
        <w:tab w:val="right" w:pos="9360"/>
      </w:tabs>
      <w:autoSpaceDE w:val="0"/>
      <w:autoSpaceDN w:val="0"/>
      <w:spacing w:after="0" w:line="240" w:lineRule="auto"/>
    </w:pPr>
    <w:rPr>
      <w:rFonts w:ascii="Calibri" w:eastAsia="Calibri" w:hAnsi="Calibri" w:cs="Calibri"/>
    </w:rPr>
  </w:style>
  <w:style w:type="character" w:customStyle="1" w:styleId="HeaderChar">
    <w:name w:val="Header Char"/>
    <w:basedOn w:val="DefaultParagraphFont"/>
    <w:link w:val="Header"/>
    <w:uiPriority w:val="99"/>
    <w:rsid w:val="00D3782C"/>
    <w:rPr>
      <w:rFonts w:ascii="Calibri" w:eastAsia="Calibri" w:hAnsi="Calibri" w:cs="Calibri"/>
      <w:kern w:val="0"/>
      <w:sz w:val="22"/>
      <w:szCs w:val="22"/>
      <w14:ligatures w14:val="none"/>
    </w:rPr>
  </w:style>
  <w:style w:type="paragraph" w:customStyle="1" w:styleId="Default">
    <w:name w:val="Default"/>
    <w:link w:val="DefaultChar"/>
    <w:rsid w:val="00D3782C"/>
    <w:pPr>
      <w:autoSpaceDE w:val="0"/>
      <w:autoSpaceDN w:val="0"/>
      <w:adjustRightInd w:val="0"/>
      <w:spacing w:after="0" w:line="240" w:lineRule="auto"/>
    </w:pPr>
    <w:rPr>
      <w:rFonts w:ascii="Arial" w:hAnsi="Arial" w:cs="Arial"/>
      <w:color w:val="000000"/>
      <w:kern w:val="0"/>
      <w14:ligatures w14:val="none"/>
    </w:rPr>
  </w:style>
  <w:style w:type="character" w:customStyle="1" w:styleId="DefaultChar">
    <w:name w:val="Default Char"/>
    <w:basedOn w:val="DefaultParagraphFont"/>
    <w:link w:val="Default"/>
    <w:rsid w:val="00D3782C"/>
    <w:rPr>
      <w:rFonts w:ascii="Arial" w:hAnsi="Arial" w:cs="Arial"/>
      <w:color w:val="000000"/>
      <w:kern w:val="0"/>
      <w14:ligatures w14:val="none"/>
    </w:rPr>
  </w:style>
  <w:style w:type="paragraph" w:customStyle="1" w:styleId="PolicyHeader2">
    <w:name w:val="Policy Header 2"/>
    <w:basedOn w:val="Default"/>
    <w:link w:val="PolicyHeader2Char"/>
    <w:qFormat/>
    <w:rsid w:val="00D3782C"/>
    <w:pPr>
      <w:widowControl w:val="0"/>
      <w:pBdr>
        <w:top w:val="single" w:sz="12" w:space="1" w:color="C00000"/>
      </w:pBdr>
    </w:pPr>
    <w:rPr>
      <w:rFonts w:eastAsiaTheme="minorEastAsia"/>
      <w:b/>
      <w:sz w:val="22"/>
      <w:szCs w:val="22"/>
    </w:rPr>
  </w:style>
  <w:style w:type="character" w:customStyle="1" w:styleId="PolicyHeader2Char">
    <w:name w:val="Policy Header 2 Char"/>
    <w:basedOn w:val="DefaultParagraphFont"/>
    <w:link w:val="PolicyHeader2"/>
    <w:rsid w:val="00D3782C"/>
    <w:rPr>
      <w:rFonts w:ascii="Arial" w:eastAsiaTheme="minorEastAsia" w:hAnsi="Arial" w:cs="Arial"/>
      <w:b/>
      <w:color w:val="000000"/>
      <w:kern w:val="0"/>
      <w:sz w:val="22"/>
      <w:szCs w:val="22"/>
      <w14:ligatures w14:val="none"/>
    </w:rPr>
  </w:style>
  <w:style w:type="paragraph" w:customStyle="1" w:styleId="PolicyMultilevelList">
    <w:name w:val="Policy Multilevel List"/>
    <w:basedOn w:val="NoSpacing"/>
    <w:link w:val="PolicyMultilevelListChar"/>
    <w:qFormat/>
    <w:rsid w:val="00D3782C"/>
    <w:rPr>
      <w:rFonts w:ascii="Arial" w:hAnsi="Arial"/>
      <w:b/>
    </w:rPr>
  </w:style>
  <w:style w:type="character" w:customStyle="1" w:styleId="PolicyMultilevelListChar">
    <w:name w:val="Policy Multilevel List Char"/>
    <w:basedOn w:val="NoSpacingChar"/>
    <w:link w:val="PolicyMultilevelList"/>
    <w:rsid w:val="00D3782C"/>
    <w:rPr>
      <w:rFonts w:ascii="Arial" w:hAnsi="Arial"/>
      <w:b/>
      <w:kern w:val="0"/>
      <w:sz w:val="22"/>
      <w:szCs w:val="22"/>
      <w14:ligatures w14:val="none"/>
    </w:rPr>
  </w:style>
  <w:style w:type="paragraph" w:customStyle="1" w:styleId="TableParagraph">
    <w:name w:val="Table Paragraph"/>
    <w:basedOn w:val="Normal"/>
    <w:uiPriority w:val="1"/>
    <w:qFormat/>
    <w:rsid w:val="00D3782C"/>
    <w:pPr>
      <w:widowControl w:val="0"/>
      <w:autoSpaceDE w:val="0"/>
      <w:autoSpaceDN w:val="0"/>
      <w:spacing w:after="0" w:line="240" w:lineRule="auto"/>
    </w:pPr>
    <w:rPr>
      <w:rFonts w:ascii="Calibri" w:eastAsia="Calibri" w:hAnsi="Calibri" w:cs="Calibri"/>
    </w:rPr>
  </w:style>
  <w:style w:type="paragraph" w:customStyle="1" w:styleId="P00Base">
    <w:name w:val="P00_Base"/>
    <w:rsid w:val="00D3782C"/>
    <w:pPr>
      <w:spacing w:after="0" w:line="240" w:lineRule="auto"/>
    </w:pPr>
    <w:rPr>
      <w:rFonts w:ascii="Arial" w:eastAsia="Times New Roman" w:hAnsi="Arial" w:cs="Times New Roman"/>
      <w:kern w:val="0"/>
      <w:sz w:val="20"/>
      <w:szCs w:val="20"/>
      <w14:ligatures w14:val="none"/>
    </w:rPr>
  </w:style>
  <w:style w:type="character" w:styleId="FollowedHyperlink">
    <w:name w:val="FollowedHyperlink"/>
    <w:basedOn w:val="DefaultParagraphFont"/>
    <w:semiHidden/>
    <w:unhideWhenUsed/>
    <w:rsid w:val="00D3782C"/>
    <w:rPr>
      <w:color w:val="96607D" w:themeColor="followedHyperlink"/>
      <w:u w:val="single"/>
    </w:rPr>
  </w:style>
  <w:style w:type="paragraph" w:styleId="Revision">
    <w:name w:val="Revision"/>
    <w:hidden/>
    <w:uiPriority w:val="99"/>
    <w:semiHidden/>
    <w:rsid w:val="00D3782C"/>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licies.fad.harvard.edu/pages/tax-compliance-external-revenue-generating-activities" TargetMode="External"/><Relationship Id="rId18" Type="http://schemas.openxmlformats.org/officeDocument/2006/relationships/hyperlink" Target="https://security.harvard.edu/files/it-security-new/files/secure_computer_recycling_advisory.pdf"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s://policies.fad.harvard.edu/pages/internal-transfers" TargetMode="External"/><Relationship Id="rId17" Type="http://schemas.openxmlformats.org/officeDocument/2006/relationships/hyperlink" Target="https://security.harvard.edu/files/it-security-new/files/secure_computer_recycling_advisory.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oc.finance.harvard.edu/resources/forms-and-templates" TargetMode="External"/><Relationship Id="rId20" Type="http://schemas.openxmlformats.org/officeDocument/2006/relationships/image" Target="media/image1.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finance.harvard.edu/resources/forms-and-templates" TargetMode="External"/><Relationship Id="rId24" Type="http://schemas.openxmlformats.org/officeDocument/2006/relationships/image" Target="media/image5.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oc.finance.harvard.edu/resources/forms-and-templates" TargetMode="External"/><Relationship Id="rId23" Type="http://schemas.openxmlformats.org/officeDocument/2006/relationships/image" Target="media/image4.pn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hwpi.harvard.edu/internalcontrols/business-cycle-controls-matrice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licies.fad.harvard.edu/pages/internal-transfers" TargetMode="External"/><Relationship Id="rId22" Type="http://schemas.openxmlformats.org/officeDocument/2006/relationships/image" Target="media/image3.pn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4F1C1D1B19F74C917C8617E2F071DA" ma:contentTypeVersion="10" ma:contentTypeDescription="Create a new document." ma:contentTypeScope="" ma:versionID="1012c805fdba53c7724a2be9599482b4">
  <xsd:schema xmlns:xsd="http://www.w3.org/2001/XMLSchema" xmlns:xs="http://www.w3.org/2001/XMLSchema" xmlns:p="http://schemas.microsoft.com/office/2006/metadata/properties" xmlns:ns2="303b9bec-6670-4f9c-88b5-934c2fa8abae" xmlns:ns3="fa4a6c43-a158-4316-a2c8-c156cd11b2b5" targetNamespace="http://schemas.microsoft.com/office/2006/metadata/properties" ma:root="true" ma:fieldsID="b407e15b1c574c67b4e8772abbb993d1" ns2:_="" ns3:_="">
    <xsd:import namespace="303b9bec-6670-4f9c-88b5-934c2fa8abae"/>
    <xsd:import namespace="fa4a6c43-a158-4316-a2c8-c156cd11b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3b9bec-6670-4f9c-88b5-934c2fa8a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4a6c43-a158-4316-a2c8-c156cd11b2b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8AE03-86B2-4CA4-BD3A-E8BC00445D9D}">
  <ds:schemaRefs>
    <ds:schemaRef ds:uri="http://schemas.microsoft.com/sharepoint/v3/contenttype/forms"/>
  </ds:schemaRefs>
</ds:datastoreItem>
</file>

<file path=customXml/itemProps2.xml><?xml version="1.0" encoding="utf-8"?>
<ds:datastoreItem xmlns:ds="http://schemas.openxmlformats.org/officeDocument/2006/customXml" ds:itemID="{22D0865C-9AE7-4AB2-AC15-40CE29613383}">
  <ds:schemaRefs>
    <ds:schemaRef ds:uri="fa4a6c43-a158-4316-a2c8-c156cd11b2b5"/>
    <ds:schemaRef ds:uri="http://schemas.openxmlformats.org/package/2006/metadata/core-properties"/>
    <ds:schemaRef ds:uri="303b9bec-6670-4f9c-88b5-934c2fa8abae"/>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5DCA4500-320B-48E9-99A4-AA5E8DA88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3b9bec-6670-4f9c-88b5-934c2fa8abae"/>
    <ds:schemaRef ds:uri="fa4a6c43-a158-4316-a2c8-c156cd11b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739274-B76B-4618-9BC8-F4145E180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2862</Words>
  <Characters>16315</Characters>
  <Application>Microsoft Office Word</Application>
  <DocSecurity>8</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McKetchnie, Gregory</dc:creator>
  <cp:keywords/>
  <dc:description/>
  <cp:lastModifiedBy>Kittredge, Karen J.</cp:lastModifiedBy>
  <cp:revision>6</cp:revision>
  <dcterms:created xsi:type="dcterms:W3CDTF">2025-08-06T15:42:00Z</dcterms:created>
  <dcterms:modified xsi:type="dcterms:W3CDTF">2025-08-07T13:45:00Z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0x010100124F1C1D1B19F74C917C8617E2F071DA</vt:lpwstr>
  </property>
  <property fmtid="{D5CDD505-2E9C-101B-9397-08002B2CF9AE}" pid="3" name="MediaServiceImageTags">
    <vt:lpwstr/>
  </property>
</Properties>
</file>